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b/>
          <w:sz w:val="52"/>
          <w:szCs w:val="52"/>
          <w:lang w:val="en-US" w:eastAsia="zh-CN"/>
        </w:rPr>
      </w:pPr>
      <w:r>
        <w:rPr>
          <w:rFonts w:hint="eastAsia" w:ascii="宋体" w:hAnsi="宋体"/>
          <w:b/>
          <w:sz w:val="52"/>
          <w:szCs w:val="52"/>
          <w:lang w:val="en-US" w:eastAsia="zh-CN"/>
        </w:rPr>
        <w:t>辽宁省沈阳市浑南区民政局</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w:t>
      </w:r>
      <w:bookmarkStart w:id="0" w:name="_GoBack"/>
      <w:bookmarkEnd w:id="0"/>
      <w:r>
        <w:rPr>
          <w:rFonts w:hint="eastAsia" w:ascii="宋体" w:hAnsi="宋体"/>
          <w:b/>
          <w:sz w:val="52"/>
          <w:szCs w:val="52"/>
        </w:rPr>
        <w:t>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lang w:eastAsia="zh-CN"/>
        </w:rPr>
        <w:t>浑南区民政局</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ascii="黑体" w:eastAsia="黑体"/>
          <w:sz w:val="32"/>
        </w:rPr>
      </w:pPr>
      <w:r>
        <w:rPr>
          <w:rFonts w:ascii="黑体" w:eastAsia="黑体"/>
          <w:sz w:val="32"/>
        </w:rPr>
        <w:t xml:space="preserve">第二部分    </w:t>
      </w:r>
      <w:r>
        <w:rPr>
          <w:rFonts w:hint="eastAsia" w:ascii="黑体" w:hAnsi="黑体" w:eastAsia="黑体"/>
          <w:sz w:val="32"/>
          <w:szCs w:val="32"/>
          <w:lang w:eastAsia="zh-CN"/>
        </w:rPr>
        <w:t>浑南区民政局</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ascii="黑体" w:eastAsia="黑体"/>
          <w:sz w:val="32"/>
        </w:rPr>
      </w:pPr>
      <w:r>
        <w:rPr>
          <w:rFonts w:ascii="黑体" w:eastAsia="黑体"/>
          <w:sz w:val="32"/>
        </w:rPr>
        <w:t xml:space="preserve">第四部分    </w:t>
      </w:r>
      <w:r>
        <w:rPr>
          <w:rFonts w:hint="eastAsia" w:ascii="黑体" w:hAnsi="黑体" w:eastAsia="黑体"/>
          <w:sz w:val="32"/>
          <w:szCs w:val="32"/>
          <w:lang w:eastAsia="zh-CN"/>
        </w:rPr>
        <w:t>浑南区民政局</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keepNext w:val="0"/>
        <w:keepLines w:val="0"/>
        <w:pageBreakBefore w:val="0"/>
        <w:kinsoku/>
        <w:wordWrap/>
        <w:overflowPunct/>
        <w:topLinePunct w:val="0"/>
        <w:autoSpaceDE/>
        <w:bidi w:val="0"/>
        <w:adjustRightInd/>
        <w:snapToGrid/>
        <w:spacing w:line="560" w:lineRule="exact"/>
        <w:jc w:val="center"/>
        <w:textAlignment w:val="auto"/>
        <w:rPr>
          <w:rFonts w:hint="default"/>
          <w:b/>
          <w:sz w:val="36"/>
        </w:rPr>
      </w:pPr>
      <w:r>
        <w:rPr>
          <w:b/>
          <w:sz w:val="36"/>
        </w:rPr>
        <w:t xml:space="preserve">第一部分 </w:t>
      </w:r>
      <w:r>
        <w:rPr>
          <w:rFonts w:hint="eastAsia"/>
          <w:b/>
          <w:sz w:val="36"/>
          <w:lang w:eastAsia="zh-CN"/>
        </w:rPr>
        <w:t>浑南区民政局</w:t>
      </w:r>
      <w:r>
        <w:rPr>
          <w:b/>
          <w:sz w:val="36"/>
        </w:rPr>
        <w:t>概况</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黑体" w:eastAsia="黑体"/>
          <w:sz w:val="32"/>
        </w:rPr>
      </w:pP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黑体" w:eastAsia="黑体"/>
          <w:sz w:val="32"/>
        </w:rPr>
      </w:pPr>
      <w:r>
        <w:rPr>
          <w:rFonts w:ascii="黑体" w:eastAsia="黑体"/>
          <w:sz w:val="32"/>
        </w:rPr>
        <w:t>一、主要职责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根据《中共辽宁省委办公厅、辽宁省人民政府办公厅关于印发沈阳市县（市、区）机构改革方案的通知》（厅秘发〔2018〕247号）精神，设立沈阳市浑南区民政局</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为沈阳市浑南区政府工作部门。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(―)贯彻执行国家、省、市关于民政工作的方针、政策和法律、法规、规章及省委、市委有关要求，拟订全区民政事业发 展规划和相关政策并组织实施。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(二）承担依法对全区性社会团体、基金会、社会服务机构进行登记管理和监督检查责任</w:t>
      </w:r>
      <w:r>
        <w:rPr>
          <w:rFonts w:hint="eastAsia" w:ascii="仿宋_GB2312"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负责区管慈善组织认定和公开募捐资格的审批工作，负责无业务主管单位的全区性社会组织的党建工作。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(三）牵头拟订全区社会救助规划、政策，健全和完善城乡社会救助体系</w:t>
      </w:r>
      <w:r>
        <w:rPr>
          <w:rFonts w:hint="eastAsia" w:ascii="仿宋_GB2312"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负责城乡居民最低生活保障、医疗救助、临时救助工作，负责指导全区居民家庭经济状况核对机制建设工作。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(四）拟订全区城乡基层群众自治建设和社区建设政策并指 导实施，指导基层政权建设和社区服务体系建设，提出加强和改进基层政权和民主政治的建议，推动基层民主政治建设。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(五）负责区级行政区域界线的勘定和管理工作，负责全区重要自然地理实体命名、更名的审核报批工作，规范全区地名标志的设置和管理，负责区内标准地名图书资料的审定工作。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(六）拟订全区社会福利事业发展规划、政策和标准并组织实施，推进慈善事业发展，组织、指导社会捐助工作，指导特困人员、孤儿、农村留守儿童、困境儿童和残疾人等特殊群体权益保障工作。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(七）负责推进婚俗和殡葬改革，指导全区公墓建设和管理工作，负责生活无着的流浪乞讨人员的救助工作，指导婚姻、殡 葬、收养、流浪乞讨人员救助服务机构管理工作。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(八）推进全区社会工作、社会工作人才队伍建设和相关志 愿者队伍建设工作。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(九）负责本单位及本系统所属企业单位的安全生产工作;协助有关部门做好生产安全事故的相关善后工作。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(十）完成区委、区政府交办的其他任务。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十一）职能转变。区民政局应加强基层政权和社区建设工作，加强对社会团体、基金会、民办非企业单位登记管理和监察，促进全区慈善组织和慈善事业发展，强化特困人员救助供养、农村留守儿童关爱保护、困境儿童保障等工作，充分发挥民政部门在维护稳定和保障民生中的重要作用。</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sz w:val="32"/>
        </w:rPr>
      </w:pPr>
      <w:r>
        <w:rPr>
          <w:rFonts w:ascii="黑体" w:eastAsia="黑体"/>
          <w:sz w:val="32"/>
        </w:rPr>
        <w:t>二、决算单位构成</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eastAsia="仿宋_GB2312"/>
          <w:b/>
          <w:sz w:val="36"/>
          <w:highlight w:val="none"/>
          <w:lang w:eastAsia="zh-CN"/>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浑南区民政局</w:t>
      </w:r>
      <w:r>
        <w:rPr>
          <w:rFonts w:ascii="仿宋_GB2312" w:eastAsia="仿宋_GB2312"/>
          <w:b w:val="0"/>
          <w:bCs w:val="0"/>
          <w:color w:val="auto"/>
          <w:sz w:val="32"/>
          <w:szCs w:val="32"/>
        </w:rPr>
        <w:t>本级，本单位无下设机构</w:t>
      </w:r>
      <w:r>
        <w:rPr>
          <w:rFonts w:hint="eastAsia" w:ascii="仿宋_GB2312" w:hAnsi="Times New Roman" w:eastAsia="仿宋_GB2312" w:cs="Times New Roman"/>
          <w:kern w:val="2"/>
          <w:sz w:val="32"/>
          <w:szCs w:val="32"/>
          <w:highlight w:val="none"/>
        </w:rPr>
        <w:t xml:space="preserve"> </w:t>
      </w:r>
      <w:r>
        <w:rPr>
          <w:rFonts w:hint="eastAsia" w:ascii="仿宋_GB2312" w:hAnsi="Times New Roman" w:eastAsia="仿宋_GB2312" w:cs="Times New Roman"/>
          <w:kern w:val="2"/>
          <w:sz w:val="32"/>
          <w:szCs w:val="32"/>
          <w:highlight w:val="none"/>
          <w:lang w:eastAsia="zh-CN"/>
        </w:rPr>
        <w:t>。</w:t>
      </w:r>
    </w:p>
    <w:p>
      <w:pPr>
        <w:pStyle w:val="6"/>
        <w:keepNext w:val="0"/>
        <w:keepLines w:val="0"/>
        <w:pageBreakBefore w:val="0"/>
        <w:kinsoku/>
        <w:wordWrap/>
        <w:overflowPunct/>
        <w:topLinePunct w:val="0"/>
        <w:autoSpaceDE/>
        <w:bidi w:val="0"/>
        <w:adjustRightInd/>
        <w:snapToGrid/>
        <w:spacing w:line="560" w:lineRule="exact"/>
        <w:jc w:val="center"/>
        <w:textAlignment w:val="auto"/>
        <w:rPr>
          <w:rFonts w:hint="eastAsia"/>
          <w:b/>
          <w:sz w:val="36"/>
          <w:lang w:val="en-US" w:eastAsia="zh-CN"/>
        </w:rPr>
      </w:pPr>
      <w:r>
        <w:rPr>
          <w:b/>
          <w:sz w:val="36"/>
        </w:rPr>
        <w:t xml:space="preserve">第二部分 </w:t>
      </w:r>
      <w:r>
        <w:rPr>
          <w:rFonts w:hint="eastAsia"/>
          <w:b/>
          <w:sz w:val="36"/>
          <w:lang w:val="en-US" w:eastAsia="zh-CN"/>
        </w:rPr>
        <w:t>浑南区民政局2021年决算情况说明</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黑体" w:eastAsia="黑体"/>
          <w:sz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rPr>
      </w:pPr>
      <w:r>
        <w:rPr>
          <w:rFonts w:ascii="黑体" w:eastAsia="黑体"/>
          <w:sz w:val="32"/>
        </w:rPr>
        <w:t>一、收入支出决算总体情况说明</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13621.62</w:t>
      </w:r>
      <w:r>
        <w:rPr>
          <w:rFonts w:ascii="楷体_GB2312" w:eastAsia="楷体_GB2312"/>
          <w:b/>
          <w:sz w:val="32"/>
        </w:rPr>
        <w:t>万元</w:t>
      </w:r>
    </w:p>
    <w:p>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eastAsia"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hAnsi="宋体" w:eastAsia="仿宋_GB2312"/>
          <w:sz w:val="32"/>
          <w:szCs w:val="32"/>
          <w:lang w:val="en-US" w:eastAsia="zh-CN"/>
        </w:rPr>
        <w:t>12560.69</w:t>
      </w:r>
      <w:r>
        <w:rPr>
          <w:rFonts w:hint="eastAsia" w:ascii="仿宋_GB2312" w:hAnsi="宋体" w:eastAsia="仿宋_GB2312"/>
          <w:sz w:val="32"/>
          <w:szCs w:val="32"/>
        </w:rPr>
        <w:t>万元</w:t>
      </w:r>
      <w:r>
        <w:rPr>
          <w:rFonts w:hint="eastAsia" w:ascii="仿宋_GB2312" w:hAnsi="宋体" w:eastAsia="仿宋_GB2312"/>
          <w:sz w:val="32"/>
          <w:szCs w:val="32"/>
          <w:highlight w:val="none"/>
        </w:rPr>
        <w:t>，占</w:t>
      </w:r>
      <w:r>
        <w:rPr>
          <w:rFonts w:ascii="仿宋_GB2312" w:hAnsi="宋体" w:eastAsia="仿宋_GB2312"/>
          <w:sz w:val="32"/>
          <w:szCs w:val="32"/>
          <w:highlight w:val="none"/>
        </w:rPr>
        <w:t>收入总计的</w:t>
      </w:r>
      <w:r>
        <w:rPr>
          <w:rFonts w:hint="eastAsia" w:ascii="仿宋_GB2312" w:hAnsi="宋体" w:eastAsia="仿宋_GB2312"/>
          <w:sz w:val="32"/>
          <w:szCs w:val="32"/>
          <w:highlight w:val="none"/>
          <w:lang w:val="en-US" w:eastAsia="zh-CN"/>
        </w:rPr>
        <w:t>92.21</w:t>
      </w:r>
      <w:r>
        <w:rPr>
          <w:rFonts w:ascii="仿宋_GB2312" w:hAnsi="宋体" w:eastAsia="仿宋_GB2312"/>
          <w:sz w:val="32"/>
          <w:szCs w:val="32"/>
          <w:highlight w:val="none"/>
        </w:rPr>
        <w:t>%</w:t>
      </w:r>
      <w:r>
        <w:rPr>
          <w:rFonts w:hint="eastAsia" w:ascii="仿宋_GB2312" w:hAnsi="宋体" w:eastAsia="仿宋_GB2312"/>
          <w:sz w:val="32"/>
          <w:szCs w:val="32"/>
          <w:highlight w:val="none"/>
        </w:rPr>
        <w:t>。</w:t>
      </w:r>
      <w:r>
        <w:rPr>
          <w:rFonts w:hint="eastAsia" w:ascii="仿宋_GB2312" w:hAnsi="宋体" w:eastAsia="仿宋_GB2312"/>
          <w:sz w:val="32"/>
          <w:szCs w:val="32"/>
        </w:rPr>
        <w:t>其中：</w:t>
      </w:r>
      <w:r>
        <w:rPr>
          <w:rFonts w:hint="eastAsia" w:ascii="仿宋_GB2312" w:hAnsi="宋体" w:eastAsia="仿宋_GB2312"/>
          <w:sz w:val="32"/>
          <w:szCs w:val="32"/>
          <w:lang w:val="en-US" w:eastAsia="zh-CN"/>
        </w:rPr>
        <w:t>一般</w:t>
      </w:r>
      <w:r>
        <w:rPr>
          <w:rFonts w:hint="eastAsia" w:ascii="仿宋_GB2312" w:hAnsi="宋体" w:eastAsia="仿宋_GB2312"/>
          <w:sz w:val="32"/>
          <w:szCs w:val="32"/>
        </w:rPr>
        <w:t>公共预算财政拨款收入</w:t>
      </w:r>
      <w:r>
        <w:rPr>
          <w:rFonts w:hint="eastAsia" w:ascii="仿宋_GB2312" w:hAnsi="宋体" w:eastAsia="仿宋_GB2312"/>
          <w:sz w:val="32"/>
          <w:szCs w:val="32"/>
          <w:lang w:val="en-US" w:eastAsia="zh-CN"/>
        </w:rPr>
        <w:t>12282.9</w:t>
      </w:r>
      <w:r>
        <w:rPr>
          <w:rFonts w:hint="eastAsia" w:ascii="仿宋_GB2312" w:hAnsi="宋体" w:eastAsia="仿宋_GB2312"/>
          <w:sz w:val="32"/>
          <w:szCs w:val="32"/>
        </w:rPr>
        <w:t>万元，政府性基金收入</w:t>
      </w:r>
      <w:r>
        <w:rPr>
          <w:rFonts w:hint="eastAsia" w:ascii="仿宋_GB2312" w:hAnsi="宋体" w:eastAsia="仿宋_GB2312"/>
          <w:sz w:val="32"/>
          <w:szCs w:val="32"/>
          <w:lang w:val="en-US" w:eastAsia="zh-CN"/>
        </w:rPr>
        <w:t>277.78</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国有资本经营预算财政拨款收入0.00</w:t>
      </w:r>
      <w:r>
        <w:rPr>
          <w:rFonts w:hint="eastAsia" w:ascii="仿宋_GB2312" w:hAnsi="宋体" w:eastAsia="仿宋_GB2312"/>
          <w:sz w:val="32"/>
          <w:szCs w:val="32"/>
        </w:rPr>
        <w:t>万元。</w:t>
      </w:r>
    </w:p>
    <w:p>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eastAsia" w:ascii="仿宋_GB2312" w:hAnsi="宋体" w:eastAsia="仿宋_GB2312"/>
          <w:sz w:val="32"/>
          <w:szCs w:val="32"/>
          <w:highlight w:val="none"/>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.其他收入</w:t>
      </w:r>
      <w:r>
        <w:rPr>
          <w:rFonts w:hint="eastAsia" w:ascii="仿宋_GB2312" w:hAnsi="宋体" w:eastAsia="仿宋_GB2312"/>
          <w:sz w:val="32"/>
          <w:szCs w:val="32"/>
          <w:lang w:val="en-US" w:eastAsia="zh-CN"/>
        </w:rPr>
        <w:t>29.14</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0.21</w:t>
      </w:r>
      <w:r>
        <w:rPr>
          <w:rFonts w:hint="eastAsia" w:ascii="仿宋_GB2312" w:hAnsi="宋体" w:eastAsia="仿宋_GB2312"/>
          <w:sz w:val="32"/>
          <w:szCs w:val="32"/>
        </w:rPr>
        <w:t>%。</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val="en-US" w:eastAsia="zh-CN"/>
        </w:rPr>
        <w:t>其他社会保障和就业支出</w:t>
      </w:r>
      <w:r>
        <w:rPr>
          <w:rFonts w:hint="eastAsia" w:ascii="仿宋_GB2312" w:hAnsi="宋体" w:eastAsia="仿宋_GB2312"/>
          <w:sz w:val="32"/>
          <w:szCs w:val="32"/>
          <w:highlight w:val="none"/>
        </w:rPr>
        <w:t>等收入。</w:t>
      </w:r>
    </w:p>
    <w:p>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eastAsia" w:ascii="仿宋_GB2312" w:hAnsi="宋体" w:eastAsia="仿宋_GB2312"/>
          <w:sz w:val="32"/>
          <w:szCs w:val="32"/>
          <w:highlight w:val="none"/>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.上年结转和结余</w:t>
      </w:r>
      <w:r>
        <w:rPr>
          <w:rFonts w:hint="eastAsia" w:ascii="仿宋_GB2312" w:hAnsi="宋体" w:eastAsia="仿宋_GB2312"/>
          <w:sz w:val="32"/>
          <w:szCs w:val="32"/>
          <w:lang w:val="en-US" w:eastAsia="zh-CN"/>
        </w:rPr>
        <w:t>1031.79</w:t>
      </w:r>
      <w:r>
        <w:rPr>
          <w:rFonts w:hint="eastAsia" w:ascii="仿宋_GB2312" w:hAnsi="宋体" w:eastAsia="仿宋_GB2312"/>
          <w:sz w:val="32"/>
          <w:szCs w:val="32"/>
        </w:rPr>
        <w:t>万元，占收入总计的</w:t>
      </w:r>
      <w:r>
        <w:rPr>
          <w:rFonts w:hint="eastAsia" w:ascii="仿宋_GB2312" w:hAnsi="宋体" w:eastAsia="仿宋_GB2312"/>
          <w:sz w:val="32"/>
          <w:szCs w:val="32"/>
          <w:lang w:val="en-US" w:eastAsia="zh-CN"/>
        </w:rPr>
        <w:t>7.57</w:t>
      </w:r>
      <w:r>
        <w:rPr>
          <w:rFonts w:hint="eastAsia" w:ascii="仿宋_GB2312" w:hAnsi="宋体" w:eastAsia="仿宋_GB2312"/>
          <w:sz w:val="32"/>
          <w:szCs w:val="32"/>
        </w:rPr>
        <w:t>%。</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上级财政拨款</w:t>
      </w:r>
      <w:r>
        <w:rPr>
          <w:rFonts w:hint="eastAsia" w:ascii="仿宋_GB2312" w:hAnsi="宋体" w:eastAsia="仿宋_GB2312"/>
          <w:sz w:val="32"/>
          <w:szCs w:val="32"/>
          <w:highlight w:val="none"/>
        </w:rPr>
        <w:t>等。</w:t>
      </w:r>
    </w:p>
    <w:p>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hAnsi="宋体" w:eastAsia="仿宋_GB2312"/>
          <w:sz w:val="32"/>
          <w:szCs w:val="32"/>
        </w:rPr>
      </w:pPr>
      <w:r>
        <w:rPr>
          <w:rFonts w:hint="eastAsia" w:ascii="仿宋_GB2312" w:hAnsi="宋体" w:eastAsia="仿宋_GB2312"/>
          <w:sz w:val="32"/>
          <w:szCs w:val="32"/>
          <w:highlight w:val="none"/>
        </w:rPr>
        <w:t>与上年相比，今年收入增加</w:t>
      </w:r>
      <w:r>
        <w:rPr>
          <w:rFonts w:hint="eastAsia" w:ascii="仿宋_GB2312" w:hAnsi="宋体" w:eastAsia="仿宋_GB2312"/>
          <w:sz w:val="32"/>
          <w:szCs w:val="32"/>
          <w:highlight w:val="none"/>
          <w:lang w:val="en-US" w:eastAsia="zh-CN"/>
        </w:rPr>
        <w:t>272.77</w:t>
      </w:r>
      <w:r>
        <w:rPr>
          <w:rFonts w:hint="eastAsia" w:ascii="仿宋_GB2312" w:hAnsi="宋体" w:eastAsia="仿宋_GB2312"/>
          <w:sz w:val="32"/>
          <w:szCs w:val="32"/>
          <w:highlight w:val="none"/>
        </w:rPr>
        <w:t>万元，增长</w:t>
      </w:r>
      <w:r>
        <w:rPr>
          <w:rFonts w:hint="eastAsia" w:ascii="仿宋_GB2312" w:hAnsi="宋体" w:eastAsia="仿宋_GB2312"/>
          <w:sz w:val="32"/>
          <w:szCs w:val="32"/>
          <w:highlight w:val="none"/>
          <w:lang w:val="en-US" w:eastAsia="zh-CN"/>
        </w:rPr>
        <w:t>2.04</w:t>
      </w:r>
      <w:r>
        <w:rPr>
          <w:rFonts w:hint="eastAsia" w:ascii="仿宋_GB2312" w:hAnsi="宋体" w:eastAsia="仿宋_GB2312"/>
          <w:sz w:val="32"/>
          <w:szCs w:val="32"/>
          <w:highlight w:val="none"/>
        </w:rPr>
        <w:t>%，</w:t>
      </w:r>
      <w:r>
        <w:rPr>
          <w:rFonts w:hint="eastAsia" w:ascii="仿宋_GB2312" w:hAnsi="宋体" w:eastAsia="仿宋_GB2312"/>
          <w:sz w:val="32"/>
          <w:szCs w:val="32"/>
        </w:rPr>
        <w:t>主要原因：</w:t>
      </w:r>
      <w:r>
        <w:rPr>
          <w:rFonts w:hint="eastAsia" w:ascii="黑体" w:hAnsi="黑体" w:eastAsia="黑体"/>
          <w:sz w:val="32"/>
          <w:szCs w:val="32"/>
        </w:rPr>
        <w:t>一是</w:t>
      </w:r>
      <w:r>
        <w:rPr>
          <w:rFonts w:hint="eastAsia" w:ascii="仿宋_GB2312" w:hAnsi="宋体" w:eastAsia="仿宋_GB2312"/>
          <w:sz w:val="32"/>
          <w:szCs w:val="32"/>
        </w:rPr>
        <w:t>财政拨款收入增加；</w:t>
      </w:r>
      <w:r>
        <w:rPr>
          <w:rFonts w:hint="eastAsia" w:ascii="黑体" w:hAnsi="黑体" w:eastAsia="黑体"/>
          <w:sz w:val="32"/>
          <w:szCs w:val="32"/>
        </w:rPr>
        <w:t>二是</w:t>
      </w:r>
      <w:r>
        <w:rPr>
          <w:rFonts w:hint="eastAsia" w:ascii="仿宋_GB2312" w:hAnsi="宋体" w:eastAsia="仿宋_GB2312"/>
          <w:sz w:val="32"/>
          <w:szCs w:val="32"/>
        </w:rPr>
        <w:t>上年结转和结余增加。</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12589.83</w:t>
      </w:r>
      <w:r>
        <w:rPr>
          <w:rFonts w:ascii="楷体_GB2312" w:eastAsia="楷体_GB2312"/>
          <w:b/>
          <w:sz w:val="32"/>
        </w:rPr>
        <w:t>万元</w:t>
      </w:r>
    </w:p>
    <w:p>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eastAsia" w:ascii="仿宋_GB2312" w:hAnsi="宋体" w:eastAsia="仿宋_GB2312"/>
          <w:sz w:val="32"/>
          <w:szCs w:val="32"/>
          <w:highlight w:val="none"/>
        </w:rPr>
      </w:pPr>
      <w:r>
        <w:rPr>
          <w:rFonts w:hint="eastAsia" w:ascii="仿宋_GB2312" w:hAnsi="宋体" w:eastAsia="仿宋_GB2312"/>
          <w:sz w:val="32"/>
          <w:szCs w:val="32"/>
        </w:rPr>
        <w:t>1.基本支出</w:t>
      </w:r>
      <w:r>
        <w:rPr>
          <w:rFonts w:hint="eastAsia" w:ascii="仿宋_GB2312" w:hAnsi="宋体" w:eastAsia="仿宋_GB2312"/>
          <w:sz w:val="32"/>
          <w:szCs w:val="32"/>
          <w:lang w:val="en-US" w:eastAsia="zh-CN"/>
        </w:rPr>
        <w:t>284.16</w:t>
      </w:r>
      <w:r>
        <w:rPr>
          <w:rFonts w:hint="eastAsia" w:ascii="仿宋_GB2312" w:hAnsi="宋体" w:eastAsia="仿宋_GB2312"/>
          <w:sz w:val="32"/>
          <w:szCs w:val="32"/>
        </w:rPr>
        <w:t>万元，</w:t>
      </w:r>
      <w:r>
        <w:rPr>
          <w:rFonts w:hint="eastAsia" w:ascii="仿宋_GB2312" w:hAnsi="宋体" w:eastAsia="仿宋_GB2312"/>
          <w:sz w:val="32"/>
          <w:szCs w:val="32"/>
          <w:highlight w:val="none"/>
        </w:rPr>
        <w:t>占支出总计的</w:t>
      </w:r>
      <w:r>
        <w:rPr>
          <w:rFonts w:hint="eastAsia" w:ascii="仿宋_GB2312" w:hAnsi="宋体" w:eastAsia="仿宋_GB2312"/>
          <w:sz w:val="32"/>
          <w:szCs w:val="32"/>
          <w:highlight w:val="none"/>
          <w:lang w:val="en-US" w:eastAsia="zh-CN"/>
        </w:rPr>
        <w:t>2.26</w:t>
      </w:r>
      <w:r>
        <w:rPr>
          <w:rFonts w:hint="eastAsia" w:ascii="仿宋_GB2312" w:hAnsi="宋体" w:eastAsia="仿宋_GB2312"/>
          <w:sz w:val="32"/>
          <w:szCs w:val="32"/>
          <w:highlight w:val="none"/>
        </w:rPr>
        <w:t>%。主要是为保障机构正常运转、完成日常工作任务而发生的各项支出，其中：工资福利支出</w:t>
      </w:r>
      <w:r>
        <w:rPr>
          <w:rFonts w:hint="eastAsia" w:ascii="仿宋_GB2312" w:hAnsi="宋体" w:eastAsia="仿宋_GB2312"/>
          <w:sz w:val="32"/>
          <w:szCs w:val="32"/>
          <w:highlight w:val="none"/>
          <w:lang w:val="en-US" w:eastAsia="zh-CN"/>
        </w:rPr>
        <w:t>225.75</w:t>
      </w:r>
      <w:r>
        <w:rPr>
          <w:rFonts w:hint="eastAsia" w:ascii="仿宋_GB2312" w:hAnsi="宋体" w:eastAsia="仿宋_GB2312"/>
          <w:sz w:val="32"/>
          <w:szCs w:val="32"/>
          <w:highlight w:val="none"/>
        </w:rPr>
        <w:t>万元，对个人和家庭的补助支出</w:t>
      </w:r>
      <w:r>
        <w:rPr>
          <w:rFonts w:hint="eastAsia" w:ascii="仿宋_GB2312" w:hAnsi="宋体" w:eastAsia="仿宋_GB2312"/>
          <w:sz w:val="32"/>
          <w:szCs w:val="32"/>
          <w:highlight w:val="none"/>
          <w:lang w:val="en-US" w:eastAsia="zh-CN"/>
        </w:rPr>
        <w:t>1.53</w:t>
      </w:r>
      <w:r>
        <w:rPr>
          <w:rFonts w:hint="eastAsia" w:ascii="仿宋_GB2312" w:hAnsi="宋体" w:eastAsia="仿宋_GB2312"/>
          <w:sz w:val="32"/>
          <w:szCs w:val="32"/>
          <w:highlight w:val="none"/>
        </w:rPr>
        <w:t>万元，商品和服务支出</w:t>
      </w:r>
      <w:r>
        <w:rPr>
          <w:rFonts w:hint="eastAsia" w:ascii="仿宋_GB2312" w:hAnsi="宋体" w:eastAsia="仿宋_GB2312"/>
          <w:sz w:val="32"/>
          <w:szCs w:val="32"/>
          <w:highlight w:val="none"/>
          <w:lang w:val="en-US" w:eastAsia="zh-CN"/>
        </w:rPr>
        <w:t>56.52</w:t>
      </w:r>
      <w:r>
        <w:rPr>
          <w:rFonts w:hint="eastAsia" w:ascii="仿宋_GB2312" w:hAnsi="宋体" w:eastAsia="仿宋_GB2312"/>
          <w:sz w:val="32"/>
          <w:szCs w:val="32"/>
          <w:highlight w:val="none"/>
        </w:rPr>
        <w:t>万元。</w:t>
      </w:r>
    </w:p>
    <w:p>
      <w:pPr>
        <w:keepNext w:val="0"/>
        <w:keepLines w:val="0"/>
        <w:pageBreakBefore w:val="0"/>
        <w:kinsoku/>
        <w:wordWrap/>
        <w:overflowPunct/>
        <w:topLinePunct w:val="0"/>
        <w:autoSpaceDE/>
        <w:bidi w:val="0"/>
        <w:adjustRightInd/>
        <w:snapToGrid/>
        <w:spacing w:line="560" w:lineRule="exact"/>
        <w:ind w:firstLine="640" w:firstLineChars="200"/>
        <w:jc w:val="both"/>
        <w:textAlignment w:val="auto"/>
        <w:rPr>
          <w:rFonts w:hint="eastAsia" w:ascii="仿宋_GB2312" w:hAnsi="宋体" w:eastAsia="仿宋_GB2312"/>
          <w:sz w:val="32"/>
          <w:szCs w:val="32"/>
          <w:highlight w:val="none"/>
        </w:rPr>
      </w:pPr>
      <w:r>
        <w:rPr>
          <w:rFonts w:hint="eastAsia" w:ascii="仿宋_GB2312" w:hAnsi="宋体" w:eastAsia="仿宋_GB2312"/>
          <w:sz w:val="32"/>
          <w:szCs w:val="32"/>
        </w:rPr>
        <w:t>2.项目支出</w:t>
      </w:r>
      <w:r>
        <w:rPr>
          <w:rFonts w:hint="eastAsia" w:ascii="仿宋_GB2312" w:hAnsi="宋体" w:eastAsia="仿宋_GB2312"/>
          <w:sz w:val="32"/>
          <w:szCs w:val="32"/>
          <w:lang w:val="en-US" w:eastAsia="zh-CN"/>
        </w:rPr>
        <w:t>13117.56</w:t>
      </w:r>
      <w:r>
        <w:rPr>
          <w:rFonts w:hint="eastAsia" w:ascii="仿宋_GB2312" w:hAnsi="宋体" w:eastAsia="仿宋_GB2312"/>
          <w:sz w:val="32"/>
          <w:szCs w:val="32"/>
        </w:rPr>
        <w:t>万元，</w:t>
      </w:r>
      <w:r>
        <w:rPr>
          <w:rFonts w:hint="eastAsia" w:ascii="仿宋_GB2312" w:hAnsi="宋体" w:eastAsia="仿宋_GB2312"/>
          <w:sz w:val="32"/>
          <w:szCs w:val="32"/>
          <w:highlight w:val="none"/>
        </w:rPr>
        <w:t>占支出总计的</w:t>
      </w:r>
      <w:r>
        <w:rPr>
          <w:rFonts w:hint="eastAsia" w:ascii="仿宋_GB2312" w:hAnsi="宋体" w:eastAsia="仿宋_GB2312"/>
          <w:sz w:val="32"/>
          <w:szCs w:val="32"/>
          <w:highlight w:val="none"/>
          <w:lang w:val="en-US" w:eastAsia="zh-CN"/>
        </w:rPr>
        <w:t>104.19</w:t>
      </w:r>
      <w:r>
        <w:rPr>
          <w:rFonts w:hint="eastAsia" w:ascii="仿宋_GB2312" w:hAnsi="宋体" w:eastAsia="仿宋_GB2312"/>
          <w:sz w:val="32"/>
          <w:szCs w:val="32"/>
          <w:highlight w:val="none"/>
        </w:rPr>
        <w:t>%。主要包括</w:t>
      </w:r>
      <w:r>
        <w:rPr>
          <w:rFonts w:hint="eastAsia" w:ascii="仿宋_GB2312" w:hAnsi="宋体" w:eastAsia="仿宋_GB2312"/>
          <w:sz w:val="32"/>
          <w:szCs w:val="32"/>
          <w:highlight w:val="none"/>
          <w:lang w:eastAsia="zh-CN"/>
        </w:rPr>
        <w:t>社会保障和就业支出、</w:t>
      </w:r>
      <w:r>
        <w:rPr>
          <w:rFonts w:hint="eastAsia" w:ascii="仿宋_GB2312" w:hAnsi="宋体" w:eastAsia="仿宋_GB2312"/>
          <w:sz w:val="32"/>
          <w:szCs w:val="32"/>
          <w:highlight w:val="none"/>
          <w:lang w:val="en-US" w:eastAsia="zh-CN"/>
        </w:rPr>
        <w:t>最低生活保障支出、基层政权建设和社区治理支出</w:t>
      </w:r>
      <w:r>
        <w:rPr>
          <w:rFonts w:hint="eastAsia" w:ascii="仿宋_GB2312" w:hAnsi="宋体" w:eastAsia="仿宋_GB2312"/>
          <w:sz w:val="32"/>
          <w:szCs w:val="32"/>
          <w:highlight w:val="none"/>
        </w:rPr>
        <w:t>等业务支出。</w:t>
      </w:r>
    </w:p>
    <w:p>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hAnsi="宋体" w:eastAsia="仿宋_GB2312"/>
          <w:sz w:val="32"/>
          <w:szCs w:val="32"/>
          <w:highlight w:val="none"/>
        </w:rPr>
      </w:pPr>
      <w:r>
        <w:rPr>
          <w:rFonts w:hint="eastAsia" w:ascii="仿宋_GB2312" w:hAnsi="宋体" w:eastAsia="仿宋_GB2312"/>
          <w:sz w:val="32"/>
          <w:szCs w:val="32"/>
          <w:highlight w:val="none"/>
        </w:rPr>
        <w:t>与上年相比，今年支出</w:t>
      </w:r>
      <w:r>
        <w:rPr>
          <w:rFonts w:hint="eastAsia" w:ascii="仿宋_GB2312" w:hAnsi="宋体" w:eastAsia="仿宋_GB2312"/>
          <w:sz w:val="32"/>
          <w:szCs w:val="32"/>
          <w:highlight w:val="none"/>
          <w:lang w:val="en-US" w:eastAsia="zh-CN"/>
        </w:rPr>
        <w:t>减少759.02</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降低5.69</w:t>
      </w:r>
      <w:r>
        <w:rPr>
          <w:rFonts w:hint="eastAsia" w:ascii="仿宋_GB2312" w:hAnsi="宋体" w:eastAsia="仿宋_GB2312"/>
          <w:sz w:val="32"/>
          <w:szCs w:val="32"/>
          <w:highlight w:val="none"/>
        </w:rPr>
        <w:t>%，主要原因：</w:t>
      </w:r>
      <w:r>
        <w:rPr>
          <w:rFonts w:hint="eastAsia" w:ascii="仿宋_GB2312" w:hAnsi="宋体" w:eastAsia="仿宋_GB2312"/>
          <w:sz w:val="32"/>
          <w:szCs w:val="32"/>
          <w:highlight w:val="none"/>
          <w:lang w:val="en-US" w:eastAsia="zh-CN"/>
        </w:rPr>
        <w:t>今年支出总计去掉了上年结转和结余资金</w:t>
      </w:r>
      <w:r>
        <w:rPr>
          <w:rFonts w:hint="eastAsia" w:ascii="仿宋_GB2312" w:hAnsi="宋体" w:eastAsia="仿宋_GB2312"/>
          <w:sz w:val="32"/>
          <w:szCs w:val="32"/>
          <w:highlight w:val="none"/>
        </w:rPr>
        <w:t>。</w:t>
      </w:r>
    </w:p>
    <w:p>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219.9</w:t>
      </w:r>
      <w:r>
        <w:rPr>
          <w:rFonts w:ascii="楷体_GB2312" w:eastAsia="楷体_GB2312"/>
          <w:b/>
          <w:sz w:val="32"/>
        </w:rPr>
        <w:t>万元</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主要是上级拨付资金未支付等原因形成的结余。</w:t>
      </w:r>
      <w:r>
        <w:rPr>
          <w:rFonts w:hint="eastAsia" w:ascii="仿宋_GB2312" w:hAnsi="宋体" w:eastAsia="仿宋_GB2312"/>
          <w:sz w:val="32"/>
          <w:szCs w:val="32"/>
          <w:highlight w:val="none"/>
        </w:rPr>
        <w:t>与上年相比，今年结转结余</w:t>
      </w:r>
      <w:r>
        <w:rPr>
          <w:rFonts w:hint="eastAsia" w:ascii="仿宋_GB2312" w:eastAsia="仿宋_GB2312"/>
          <w:sz w:val="32"/>
          <w:szCs w:val="32"/>
          <w:highlight w:val="none"/>
          <w:lang w:val="en-US" w:eastAsia="zh-CN"/>
        </w:rPr>
        <w:t>减少910.14</w:t>
      </w:r>
      <w:r>
        <w:rPr>
          <w:rFonts w:hint="eastAsia" w:ascii="仿宋_GB2312" w:hAnsi="宋体" w:eastAsia="仿宋_GB2312"/>
          <w:sz w:val="32"/>
          <w:szCs w:val="32"/>
          <w:highlight w:val="none"/>
        </w:rPr>
        <w:t>万元，</w:t>
      </w:r>
      <w:r>
        <w:rPr>
          <w:rFonts w:hint="eastAsia" w:ascii="仿宋_GB2312" w:eastAsia="仿宋_GB2312"/>
          <w:sz w:val="32"/>
          <w:szCs w:val="32"/>
          <w:highlight w:val="none"/>
          <w:lang w:val="en-US" w:eastAsia="zh-CN"/>
        </w:rPr>
        <w:t>降低80.54</w:t>
      </w:r>
      <w:r>
        <w:rPr>
          <w:rFonts w:hint="eastAsia" w:ascii="仿宋_GB2312" w:hAnsi="宋体" w:eastAsia="仿宋_GB2312"/>
          <w:sz w:val="32"/>
          <w:szCs w:val="32"/>
          <w:highlight w:val="none"/>
        </w:rPr>
        <w:t>%，</w:t>
      </w:r>
      <w:r>
        <w:rPr>
          <w:rFonts w:hint="eastAsia" w:ascii="仿宋_GB2312" w:eastAsia="仿宋_GB2312"/>
          <w:sz w:val="32"/>
          <w:szCs w:val="32"/>
        </w:rPr>
        <w:t>主要原因：上级拨付资金</w:t>
      </w:r>
      <w:r>
        <w:rPr>
          <w:rFonts w:hint="eastAsia" w:ascii="仿宋_GB2312" w:eastAsia="仿宋_GB2312"/>
          <w:sz w:val="32"/>
          <w:szCs w:val="32"/>
          <w:lang w:val="en-US" w:eastAsia="zh-CN"/>
        </w:rPr>
        <w:t>及时使用</w:t>
      </w:r>
      <w:r>
        <w:rPr>
          <w:rFonts w:hint="eastAsia" w:ascii="仿宋_GB2312" w:eastAsia="仿宋_GB2312"/>
          <w:sz w:val="32"/>
          <w:szCs w:val="32"/>
        </w:rPr>
        <w:t>。</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ascii="黑体" w:eastAsia="黑体"/>
          <w:sz w:val="32"/>
        </w:rPr>
      </w:pPr>
      <w:r>
        <w:rPr>
          <w:rFonts w:ascii="黑体" w:eastAsia="黑体"/>
          <w:sz w:val="32"/>
        </w:rPr>
        <w:t>二、财政拨款收入支出决算情况说明</w:t>
      </w:r>
    </w:p>
    <w:p>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楷体_GB2312" w:eastAsia="楷体_GB2312"/>
          <w:b/>
          <w:sz w:val="32"/>
        </w:rPr>
      </w:pPr>
      <w:r>
        <w:rPr>
          <w:rFonts w:ascii="楷体_GB2312" w:eastAsia="楷体_GB2312"/>
          <w:b/>
          <w:sz w:val="32"/>
        </w:rPr>
        <w:t>（一）总体情况</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eastAsia="仿宋_GB2312"/>
          <w:sz w:val="32"/>
          <w:lang w:eastAsia="zh-CN"/>
        </w:rPr>
      </w:pPr>
      <w:r>
        <w:rPr>
          <w:rFonts w:ascii="仿宋_GB2312" w:eastAsia="仿宋_GB2312"/>
          <w:sz w:val="32"/>
        </w:rPr>
        <w:t>2021年度财政拨款支出</w:t>
      </w:r>
      <w:r>
        <w:rPr>
          <w:rFonts w:hint="eastAsia" w:ascii="仿宋_GB2312" w:eastAsia="仿宋_GB2312"/>
          <w:sz w:val="32"/>
          <w:lang w:val="en-US" w:eastAsia="zh-CN"/>
        </w:rPr>
        <w:t>13401.72</w:t>
      </w:r>
      <w:r>
        <w:rPr>
          <w:rFonts w:ascii="仿宋_GB2312" w:eastAsia="仿宋_GB2312"/>
          <w:sz w:val="32"/>
        </w:rPr>
        <w:t>万元，其中：基本支出</w:t>
      </w:r>
      <w:r>
        <w:rPr>
          <w:rFonts w:hint="eastAsia" w:ascii="仿宋_GB2312" w:eastAsia="仿宋_GB2312"/>
          <w:sz w:val="32"/>
          <w:lang w:val="en-US" w:eastAsia="zh-CN"/>
        </w:rPr>
        <w:t>284.16</w:t>
      </w:r>
      <w:r>
        <w:rPr>
          <w:rFonts w:ascii="仿宋_GB2312" w:eastAsia="仿宋_GB2312"/>
          <w:sz w:val="32"/>
        </w:rPr>
        <w:t>万元，项目支出</w:t>
      </w:r>
      <w:r>
        <w:rPr>
          <w:rFonts w:hint="eastAsia" w:ascii="仿宋_GB2312" w:eastAsia="仿宋_GB2312"/>
          <w:sz w:val="32"/>
          <w:lang w:val="en-US" w:eastAsia="zh-CN"/>
        </w:rPr>
        <w:t>13117.56</w:t>
      </w:r>
      <w:r>
        <w:rPr>
          <w:rFonts w:ascii="仿宋_GB2312" w:eastAsia="仿宋_GB2312"/>
          <w:sz w:val="32"/>
        </w:rPr>
        <w:t>万元。与上年相比，财政拨款支出增加</w:t>
      </w:r>
      <w:r>
        <w:rPr>
          <w:rFonts w:hint="eastAsia" w:ascii="仿宋_GB2312" w:eastAsia="仿宋_GB2312"/>
          <w:sz w:val="32"/>
          <w:lang w:val="en-US" w:eastAsia="zh-CN"/>
        </w:rPr>
        <w:t>1182.91</w:t>
      </w:r>
      <w:r>
        <w:rPr>
          <w:rFonts w:ascii="仿宋_GB2312" w:eastAsia="仿宋_GB2312"/>
          <w:sz w:val="32"/>
        </w:rPr>
        <w:t>万元，增长</w:t>
      </w:r>
      <w:r>
        <w:rPr>
          <w:rFonts w:hint="eastAsia" w:ascii="仿宋_GB2312" w:eastAsia="仿宋_GB2312"/>
          <w:sz w:val="32"/>
          <w:lang w:val="en-US" w:eastAsia="zh-CN"/>
        </w:rPr>
        <w:t>9.68</w:t>
      </w:r>
      <w:r>
        <w:rPr>
          <w:rFonts w:ascii="仿宋_GB2312" w:eastAsia="仿宋_GB2312"/>
          <w:sz w:val="32"/>
        </w:rPr>
        <w:t>%，主要原因：</w:t>
      </w:r>
      <w:r>
        <w:rPr>
          <w:rFonts w:hint="eastAsia" w:ascii="黑体" w:eastAsia="黑体"/>
          <w:sz w:val="32"/>
          <w:lang w:val="en-US" w:eastAsia="zh-CN"/>
        </w:rPr>
        <w:t>项目支出增加</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93.84</w:t>
      </w:r>
      <w:r>
        <w:rPr>
          <w:rFonts w:ascii="仿宋_GB2312" w:eastAsia="仿宋_GB2312"/>
          <w:sz w:val="32"/>
        </w:rPr>
        <w:t>%，其中：基本支出完成年初预算的</w:t>
      </w:r>
      <w:r>
        <w:rPr>
          <w:rFonts w:hint="eastAsia" w:ascii="仿宋_GB2312" w:eastAsia="仿宋_GB2312"/>
          <w:sz w:val="32"/>
          <w:lang w:val="en-US" w:eastAsia="zh-CN"/>
        </w:rPr>
        <w:t>59.44</w:t>
      </w:r>
      <w:r>
        <w:rPr>
          <w:rFonts w:ascii="仿宋_GB2312" w:eastAsia="仿宋_GB2312"/>
          <w:sz w:val="32"/>
        </w:rPr>
        <w:t>%，项目支出完成年初预算的</w:t>
      </w:r>
      <w:r>
        <w:rPr>
          <w:rFonts w:hint="eastAsia" w:ascii="仿宋_GB2312" w:eastAsia="仿宋_GB2312"/>
          <w:sz w:val="32"/>
          <w:lang w:val="en-US" w:eastAsia="zh-CN"/>
        </w:rPr>
        <w:t>95.03</w:t>
      </w:r>
      <w:r>
        <w:rPr>
          <w:rFonts w:ascii="仿宋_GB2312" w:eastAsia="仿宋_GB2312"/>
          <w:sz w:val="32"/>
        </w:rPr>
        <w:t>%</w:t>
      </w:r>
      <w:r>
        <w:rPr>
          <w:rFonts w:hint="eastAsia" w:ascii="仿宋_GB2312" w:eastAsia="仿宋_GB2312"/>
          <w:sz w:val="32"/>
          <w:lang w:eastAsia="zh-CN"/>
        </w:rPr>
        <w:t>。</w:t>
      </w:r>
    </w:p>
    <w:p>
      <w:pPr>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楷体_GB2312" w:hAnsi="宋体" w:eastAsia="楷体_GB2312"/>
          <w:b/>
          <w:sz w:val="32"/>
          <w:szCs w:val="32"/>
          <w:highlight w:val="none"/>
        </w:rPr>
      </w:pPr>
      <w:r>
        <w:rPr>
          <w:rFonts w:ascii="楷体_GB2312" w:hAnsi="宋体" w:eastAsia="楷体_GB2312"/>
          <w:b/>
          <w:sz w:val="32"/>
          <w:szCs w:val="32"/>
          <w:highlight w:val="none"/>
        </w:rPr>
        <w:t>（二）一般公共预算财政拨款支出情况。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highlight w:val="none"/>
        </w:rPr>
      </w:pPr>
      <w:r>
        <w:rPr>
          <w:rFonts w:ascii="仿宋_GB2312" w:hAnsi="宋体" w:eastAsia="仿宋_GB2312"/>
          <w:sz w:val="32"/>
          <w:szCs w:val="32"/>
          <w:highlight w:val="none"/>
        </w:rPr>
        <w:t>2021年度一般公共预算财政拨款支出</w:t>
      </w:r>
      <w:r>
        <w:rPr>
          <w:rFonts w:hint="eastAsia" w:ascii="仿宋_GB2312" w:hAnsi="宋体" w:eastAsia="仿宋_GB2312"/>
          <w:sz w:val="32"/>
          <w:szCs w:val="32"/>
          <w:highlight w:val="none"/>
          <w:lang w:val="en-US" w:eastAsia="zh-CN"/>
        </w:rPr>
        <w:t>12495.77</w:t>
      </w:r>
      <w:r>
        <w:rPr>
          <w:rFonts w:ascii="仿宋_GB2312" w:hAnsi="宋体" w:eastAsia="仿宋_GB2312"/>
          <w:sz w:val="32"/>
          <w:szCs w:val="32"/>
          <w:highlight w:val="none"/>
        </w:rPr>
        <w:t>万元，按支出功能分类科目分，包括</w:t>
      </w:r>
      <w:r>
        <w:rPr>
          <w:rFonts w:hint="eastAsia" w:ascii="仿宋_GB2312" w:hAnsi="宋体" w:eastAsia="仿宋_GB2312"/>
          <w:sz w:val="32"/>
          <w:szCs w:val="32"/>
          <w:highlight w:val="none"/>
          <w:lang w:eastAsia="zh-CN"/>
        </w:rPr>
        <w:t>：社会保障和就业</w:t>
      </w:r>
      <w:r>
        <w:rPr>
          <w:rFonts w:hint="eastAsia" w:ascii="仿宋_GB2312" w:hAnsi="宋体" w:eastAsia="仿宋_GB2312"/>
          <w:sz w:val="32"/>
          <w:szCs w:val="32"/>
          <w:highlight w:val="none"/>
        </w:rPr>
        <w:t>支出</w:t>
      </w:r>
      <w:r>
        <w:rPr>
          <w:rFonts w:hint="eastAsia" w:ascii="仿宋_GB2312" w:hAnsi="宋体" w:eastAsia="仿宋_GB2312"/>
          <w:sz w:val="32"/>
          <w:szCs w:val="32"/>
          <w:highlight w:val="none"/>
          <w:lang w:val="en-US" w:eastAsia="zh-CN"/>
        </w:rPr>
        <w:t>12112.27</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val="en-US" w:eastAsia="zh-CN"/>
        </w:rPr>
        <w:t>占96.93%；卫生健康支出327.74万元，占2.62%；住房保障支出41.93万元，占0.34%；灾害防治及应急管理支出13.8万元，占0.11%</w:t>
      </w:r>
      <w:r>
        <w:rPr>
          <w:rFonts w:ascii="仿宋_GB2312" w:hAnsi="宋体"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lang w:eastAsia="zh-CN"/>
        </w:rPr>
        <w:t>.社会保障和就业</w:t>
      </w:r>
      <w:r>
        <w:rPr>
          <w:rFonts w:hint="eastAsia" w:ascii="仿宋_GB2312" w:hAnsi="宋体" w:eastAsia="仿宋_GB2312"/>
          <w:sz w:val="32"/>
          <w:szCs w:val="32"/>
          <w:highlight w:val="none"/>
        </w:rPr>
        <w:t>支出</w:t>
      </w:r>
      <w:r>
        <w:rPr>
          <w:rFonts w:hint="eastAsia" w:ascii="仿宋_GB2312" w:hAnsi="宋体" w:eastAsia="仿宋_GB2312"/>
          <w:sz w:val="32"/>
          <w:szCs w:val="32"/>
          <w:highlight w:val="none"/>
          <w:lang w:val="en-US" w:eastAsia="zh-CN"/>
        </w:rPr>
        <w:t>12112.27</w:t>
      </w:r>
      <w:r>
        <w:rPr>
          <w:rFonts w:hint="eastAsia" w:ascii="仿宋_GB2312" w:hAnsi="宋体" w:eastAsia="仿宋_GB2312"/>
          <w:sz w:val="32"/>
          <w:szCs w:val="32"/>
          <w:highlight w:val="none"/>
        </w:rPr>
        <w:t>万元，具体包括：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olor w:val="auto"/>
          <w:sz w:val="32"/>
          <w:szCs w:val="32"/>
          <w:highlight w:val="none"/>
          <w:lang w:val="en-US" w:eastAsia="zh-CN"/>
        </w:rPr>
      </w:pPr>
      <w:r>
        <w:rPr>
          <w:rFonts w:hint="eastAsia" w:ascii="仿宋_GB2312" w:hAnsi="宋体" w:eastAsia="仿宋_GB2312"/>
          <w:sz w:val="32"/>
          <w:szCs w:val="32"/>
          <w:highlight w:val="none"/>
        </w:rPr>
        <w:t>（1）</w:t>
      </w:r>
      <w:r>
        <w:rPr>
          <w:rFonts w:hint="eastAsia" w:ascii="仿宋_GB2312" w:hAnsi="宋体" w:eastAsia="仿宋_GB2312"/>
          <w:sz w:val="32"/>
          <w:szCs w:val="32"/>
          <w:highlight w:val="none"/>
          <w:lang w:eastAsia="zh-CN"/>
        </w:rPr>
        <w:t>社会保障和就业</w:t>
      </w:r>
      <w:r>
        <w:rPr>
          <w:rFonts w:hint="eastAsia" w:ascii="仿宋_GB2312" w:hAnsi="宋体" w:eastAsia="仿宋_GB2312"/>
          <w:sz w:val="32"/>
          <w:szCs w:val="32"/>
          <w:highlight w:val="none"/>
        </w:rPr>
        <w:t>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类）民政管理事务（款）</w:t>
      </w:r>
      <w:r>
        <w:rPr>
          <w:rFonts w:hint="eastAsia" w:ascii="仿宋_GB2312" w:hAnsi="宋体" w:eastAsia="仿宋_GB2312"/>
          <w:sz w:val="32"/>
          <w:szCs w:val="32"/>
          <w:highlight w:val="none"/>
        </w:rPr>
        <w:t>行政运行</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项）9370.69</w:t>
      </w:r>
      <w:r>
        <w:rPr>
          <w:rFonts w:hint="eastAsia"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一般行政管理事务、行政区划和地名管理、基层政权建设和社区管理、其他民政管理事务支出</w:t>
      </w:r>
      <w:r>
        <w:rPr>
          <w:rFonts w:hint="eastAsia"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97.8</w:t>
      </w:r>
      <w:r>
        <w:rPr>
          <w:rFonts w:hint="eastAsia"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eastAsia="zh-CN"/>
        </w:rPr>
        <w:t>行政管理和地名管理支出减少</w:t>
      </w:r>
      <w:r>
        <w:rPr>
          <w:rFonts w:hint="eastAsia" w:ascii="仿宋_GB2312" w:hAnsi="宋体"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（2）行政事业单位养老支出19.94万元，主要用于单位养老保险支出，其中行政单位离退休支出1.53万元、 机关事业单位基本养老保险缴费支出18.4万元、机关事业单位职业年金缴费支出0.01万元，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3）社会福利支出419.75万元，主要用于孤儿最低生活保障金、助学金，事实无人抚养儿童保障金、助学金，免除殡葬基本福利经费，浑南区中心敬老院各类经费。其中儿童福利46.31万元、殡葬76.33万元、社会福利事业单位297.11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（4）残疾人事业支出307.17万元，主要用于困难残疾人和重度残疾人生活补贴、护理补贴，其中残疾人生活和护理补贴220.47万元、其他残疾人事业支出86.70万元，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（5）最低生活保障支出1325.61万元，主要用于城市和农村低保户、低保边缘户的生活保障性支出，其中城市最低生活保障金支出653.07万元、农村最低生活保障金支出672.54万元，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（6）临时救助支出85.83万元，主要对城乡困难群众进行临时性补贴，其中临时救助支出85.83万元，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（7）特困人员救助供养支出291.21万元，主要用于城市农村分散性供养、集中性供养人员生活补助，其中城市特困人员救助供养支出15.60万元、农村特困人员救助供养支出275.61万元，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（8）其他生活救助支出54.66万元，主要用于城市农村困难群众人员其他性生活补助，其中其他城市生活救助33.47万元、其他农村生活救助21.19万元，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highlight w:val="none"/>
          <w:lang w:val="en-US" w:eastAsia="zh-CN"/>
        </w:rPr>
        <w:t>卫生健康支出327.74万元</w:t>
      </w:r>
      <w:r>
        <w:rPr>
          <w:rFonts w:hint="eastAsia" w:ascii="仿宋_GB2312" w:hAnsi="宋体" w:eastAsia="仿宋_GB2312"/>
          <w:sz w:val="32"/>
          <w:szCs w:val="32"/>
          <w:highlight w:val="none"/>
        </w:rPr>
        <w:t>，具体包括</w:t>
      </w:r>
      <w:r>
        <w:rPr>
          <w:rFonts w:hint="eastAsia" w:ascii="仿宋_GB2312" w:hAnsi="宋体" w:eastAsia="仿宋_GB2312"/>
          <w:sz w:val="32"/>
          <w:szCs w:val="32"/>
          <w:highlight w:val="none"/>
          <w:lang w:eastAsia="zh-CN"/>
        </w:rPr>
        <w:t>：重大公共卫生服务支出</w:t>
      </w:r>
      <w:r>
        <w:rPr>
          <w:rFonts w:hint="eastAsia" w:ascii="仿宋_GB2312" w:hAnsi="宋体" w:eastAsia="仿宋_GB2312"/>
          <w:sz w:val="32"/>
          <w:szCs w:val="32"/>
          <w:highlight w:val="none"/>
          <w:lang w:val="en-US" w:eastAsia="zh-CN"/>
        </w:rPr>
        <w:t>66.62万元、行政事业单位医疗补助11.28万元、基层医疗卫生机构支出14万元、老龄卫生健康事务支出235.84万元，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3.住房保障支出41.93万元，具体包括：住房公积金支出41.93万元，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rPr>
      </w:pPr>
      <w:r>
        <w:rPr>
          <w:rFonts w:hint="eastAsia" w:ascii="仿宋_GB2312" w:hAnsi="宋体" w:eastAsia="仿宋_GB2312"/>
          <w:sz w:val="32"/>
          <w:szCs w:val="32"/>
          <w:highlight w:val="none"/>
          <w:lang w:val="en-US" w:eastAsia="zh-CN"/>
        </w:rPr>
        <w:t>4.灾害防治及应急管理支出13.8万元，具体包括：其他应急管理支出13.8万元，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outlineLvl w:val="2"/>
        <w:rPr>
          <w:rFonts w:hint="eastAsia" w:ascii="黑体" w:hAnsi="黑体" w:eastAsia="黑体" w:cs="黑体"/>
          <w:b/>
          <w:color w:val="FF0000"/>
          <w:sz w:val="32"/>
          <w:szCs w:val="32"/>
          <w:highlight w:val="none"/>
          <w:lang w:val="en-US" w:eastAsia="zh-CN"/>
        </w:rPr>
      </w:pPr>
      <w:r>
        <w:rPr>
          <w:rFonts w:ascii="楷体_GB2312" w:hAnsi="宋体" w:eastAsia="楷体_GB2312"/>
          <w:b/>
          <w:sz w:val="32"/>
          <w:szCs w:val="32"/>
          <w:highlight w:val="none"/>
        </w:rPr>
        <w:t>（三）政府性基金预算财政拨款支出情况。</w:t>
      </w:r>
    </w:p>
    <w:p>
      <w:pPr>
        <w:keepNext w:val="0"/>
        <w:keepLines w:val="0"/>
        <w:pageBreakBefore w:val="0"/>
        <w:kinsoku/>
        <w:wordWrap/>
        <w:overflowPunct/>
        <w:topLinePunct w:val="0"/>
        <w:autoSpaceDE/>
        <w:bidi w:val="0"/>
        <w:adjustRightInd/>
        <w:snapToGrid/>
        <w:spacing w:line="560" w:lineRule="exact"/>
        <w:ind w:firstLine="640" w:firstLineChars="200"/>
        <w:textAlignment w:val="auto"/>
        <w:rPr>
          <w:rFonts w:ascii="仿宋_GB2312" w:hAnsi="宋体" w:eastAsia="仿宋_GB2312"/>
          <w:sz w:val="32"/>
          <w:szCs w:val="32"/>
          <w:highlight w:val="none"/>
        </w:rPr>
      </w:pPr>
      <w:r>
        <w:rPr>
          <w:rFonts w:ascii="仿宋_GB2312" w:hAnsi="宋体" w:eastAsia="仿宋_GB2312"/>
          <w:sz w:val="32"/>
          <w:szCs w:val="32"/>
          <w:highlight w:val="none"/>
        </w:rPr>
        <w:t>2021年度政府性基金预算财政拨款支出</w:t>
      </w:r>
      <w:r>
        <w:rPr>
          <w:rFonts w:hint="eastAsia" w:ascii="仿宋_GB2312" w:hAnsi="宋体" w:eastAsia="仿宋_GB2312"/>
          <w:sz w:val="32"/>
          <w:szCs w:val="32"/>
          <w:highlight w:val="none"/>
          <w:lang w:val="en-US" w:eastAsia="zh-CN"/>
        </w:rPr>
        <w:t>870.11</w:t>
      </w:r>
      <w:r>
        <w:rPr>
          <w:rFonts w:ascii="仿宋_GB2312" w:hAnsi="宋体" w:eastAsia="仿宋_GB2312"/>
          <w:sz w:val="32"/>
          <w:szCs w:val="32"/>
          <w:highlight w:val="none"/>
        </w:rPr>
        <w:t>万元，按支出功能分类科目分，包括：</w:t>
      </w:r>
      <w:r>
        <w:rPr>
          <w:rFonts w:hint="eastAsia" w:ascii="仿宋_GB2312" w:hAnsi="宋体" w:eastAsia="仿宋_GB2312"/>
          <w:sz w:val="32"/>
          <w:szCs w:val="32"/>
          <w:highlight w:val="none"/>
          <w:lang w:val="en-US" w:eastAsia="zh-CN"/>
        </w:rPr>
        <w:t>彩票公益金安排的支出870.11万元</w:t>
      </w:r>
      <w:r>
        <w:rPr>
          <w:rFonts w:ascii="仿宋_GB2312" w:hAnsi="宋体" w:eastAsia="仿宋_GB2312"/>
          <w:sz w:val="32"/>
          <w:szCs w:val="32"/>
          <w:highlight w:val="none"/>
        </w:rPr>
        <w:t>。</w:t>
      </w:r>
    </w:p>
    <w:p>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1.彩票公益金安排的支出870.11万元</w:t>
      </w:r>
      <w:r>
        <w:rPr>
          <w:rFonts w:hint="eastAsia" w:ascii="仿宋_GB2312" w:hAnsi="宋体" w:eastAsia="仿宋_GB2312"/>
          <w:sz w:val="32"/>
          <w:szCs w:val="32"/>
          <w:highlight w:val="none"/>
        </w:rPr>
        <w:t>，具体包括</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用于社会福利的彩票公益金支出870.11万元。，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完全按照预算执行</w:t>
      </w:r>
      <w:r>
        <w:rPr>
          <w:rFonts w:hint="eastAsia" w:ascii="仿宋_GB2312" w:hAnsi="宋体" w:eastAsia="仿宋_GB2312"/>
          <w:sz w:val="32"/>
          <w:szCs w:val="32"/>
          <w:highlight w:val="none"/>
        </w:rPr>
        <w:t>。</w:t>
      </w:r>
    </w:p>
    <w:p>
      <w:pPr>
        <w:keepNext w:val="0"/>
        <w:keepLines w:val="0"/>
        <w:pageBreakBefore w:val="0"/>
        <w:kinsoku/>
        <w:wordWrap/>
        <w:overflowPunct/>
        <w:topLinePunct w:val="0"/>
        <w:autoSpaceDE/>
        <w:bidi w:val="0"/>
        <w:adjustRightInd/>
        <w:snapToGrid/>
        <w:spacing w:line="560" w:lineRule="exact"/>
        <w:ind w:firstLine="643" w:firstLineChars="200"/>
        <w:textAlignment w:val="auto"/>
        <w:rPr>
          <w:rFonts w:ascii="楷体_GB2312" w:hAnsi="宋体" w:eastAsia="楷体_GB2312"/>
          <w:b/>
          <w:sz w:val="32"/>
          <w:szCs w:val="32"/>
          <w:highlight w:val="none"/>
        </w:rPr>
      </w:pPr>
      <w:r>
        <w:rPr>
          <w:rFonts w:ascii="楷体_GB2312" w:hAnsi="宋体" w:eastAsia="楷体_GB2312"/>
          <w:b/>
          <w:sz w:val="32"/>
          <w:szCs w:val="32"/>
          <w:highlight w:val="none"/>
        </w:rPr>
        <w:t>（四）国有资本经营预算财政拨款支出情况。</w:t>
      </w:r>
    </w:p>
    <w:p>
      <w:pPr>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本年未发生此项资金。</w:t>
      </w:r>
    </w:p>
    <w:p>
      <w:pPr>
        <w:pStyle w:val="6"/>
        <w:keepNext w:val="0"/>
        <w:keepLines w:val="0"/>
        <w:pageBreakBefore w:val="0"/>
        <w:kinsoku/>
        <w:wordWrap/>
        <w:overflowPunct/>
        <w:topLinePunct w:val="0"/>
        <w:autoSpaceDE/>
        <w:autoSpaceDN w:val="0"/>
        <w:bidi w:val="0"/>
        <w:adjustRightInd/>
        <w:snapToGrid/>
        <w:spacing w:line="560" w:lineRule="exact"/>
        <w:ind w:firstLine="640" w:firstLineChars="200"/>
        <w:textAlignment w:val="auto"/>
        <w:rPr>
          <w:rFonts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宋体" w:eastAsia="仿宋_GB2312"/>
          <w:sz w:val="32"/>
          <w:szCs w:val="32"/>
          <w:highlight w:val="yellow"/>
          <w:lang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黑体" w:eastAsia="黑体"/>
          <w:sz w:val="32"/>
        </w:rPr>
      </w:pPr>
      <w:r>
        <w:rPr>
          <w:rFonts w:ascii="黑体" w:eastAsia="黑体"/>
          <w:sz w:val="32"/>
        </w:rPr>
        <w:t>四、一般公共预算财政拨款基本支出决算情况说明</w:t>
      </w:r>
    </w:p>
    <w:p>
      <w:pPr>
        <w:pStyle w:val="6"/>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284.16</w:t>
      </w:r>
      <w:r>
        <w:rPr>
          <w:rFonts w:ascii="仿宋_GB2312" w:eastAsia="仿宋_GB2312"/>
          <w:sz w:val="32"/>
        </w:rPr>
        <w:t>万元，其中：人员经费</w:t>
      </w:r>
      <w:r>
        <w:rPr>
          <w:rFonts w:hint="eastAsia" w:ascii="仿宋_GB2312" w:eastAsia="仿宋_GB2312"/>
          <w:sz w:val="32"/>
          <w:lang w:val="en-US" w:eastAsia="zh-CN"/>
        </w:rPr>
        <w:t>227.29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56.87</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黑体" w:eastAsia="黑体"/>
          <w:sz w:val="32"/>
          <w:highlight w:val="none"/>
        </w:rPr>
      </w:pPr>
      <w:r>
        <w:rPr>
          <w:rFonts w:ascii="黑体" w:eastAsia="黑体"/>
          <w:sz w:val="32"/>
          <w:highlight w:val="none"/>
        </w:rPr>
        <w:t>五、其他重要事项的情况说明</w:t>
      </w:r>
    </w:p>
    <w:p>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ascii="楷体_GB2312" w:eastAsia="楷体_GB2312"/>
          <w:b/>
          <w:sz w:val="32"/>
          <w:highlight w:val="none"/>
        </w:rPr>
      </w:pPr>
      <w:r>
        <w:rPr>
          <w:rFonts w:ascii="楷体_GB2312" w:eastAsia="楷体_GB2312"/>
          <w:b/>
          <w:sz w:val="32"/>
          <w:highlight w:val="none"/>
        </w:rPr>
        <w:t>（一）机关运行经费支出情况。</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sz w:val="32"/>
          <w:highlight w:val="yellow"/>
        </w:rPr>
      </w:pPr>
      <w:r>
        <w:rPr>
          <w:rFonts w:ascii="仿宋_GB2312" w:eastAsia="仿宋_GB2312"/>
          <w:sz w:val="32"/>
          <w:highlight w:val="none"/>
        </w:rPr>
        <w:t>2021年度机关运行经费支出</w:t>
      </w:r>
      <w:r>
        <w:rPr>
          <w:rFonts w:hint="eastAsia" w:ascii="仿宋_GB2312" w:eastAsia="仿宋_GB2312"/>
          <w:sz w:val="32"/>
          <w:highlight w:val="none"/>
          <w:lang w:val="en-US" w:eastAsia="zh-CN"/>
        </w:rPr>
        <w:t>56.87</w:t>
      </w:r>
      <w:r>
        <w:rPr>
          <w:rFonts w:ascii="仿宋_GB2312" w:eastAsia="仿宋_GB2312"/>
          <w:sz w:val="32"/>
          <w:highlight w:val="none"/>
        </w:rPr>
        <w:t>万元，比上年决算数减少</w:t>
      </w:r>
      <w:r>
        <w:rPr>
          <w:rFonts w:hint="eastAsia" w:ascii="仿宋_GB2312" w:eastAsia="仿宋_GB2312"/>
          <w:sz w:val="32"/>
          <w:highlight w:val="none"/>
          <w:lang w:val="en-US" w:eastAsia="zh-CN"/>
        </w:rPr>
        <w:t>10.12</w:t>
      </w:r>
      <w:r>
        <w:rPr>
          <w:rFonts w:ascii="仿宋_GB2312" w:eastAsia="仿宋_GB2312"/>
          <w:sz w:val="32"/>
          <w:highlight w:val="none"/>
        </w:rPr>
        <w:t>万元，降低</w:t>
      </w:r>
      <w:r>
        <w:rPr>
          <w:rFonts w:hint="eastAsia" w:ascii="仿宋_GB2312" w:eastAsia="仿宋_GB2312"/>
          <w:sz w:val="32"/>
          <w:highlight w:val="none"/>
          <w:lang w:val="en-US" w:eastAsia="zh-CN"/>
        </w:rPr>
        <w:t>15.11</w:t>
      </w:r>
      <w:r>
        <w:rPr>
          <w:rFonts w:ascii="仿宋_GB2312" w:eastAsia="仿宋_GB2312"/>
          <w:sz w:val="32"/>
          <w:highlight w:val="none"/>
        </w:rPr>
        <w:t>%，主要原因是</w:t>
      </w:r>
      <w:r>
        <w:rPr>
          <w:rFonts w:hint="eastAsia" w:ascii="仿宋_GB2312" w:eastAsia="仿宋_GB2312"/>
          <w:sz w:val="32"/>
          <w:highlight w:val="none"/>
          <w:lang w:val="en-US" w:eastAsia="zh-CN"/>
        </w:rPr>
        <w:t>机关运行经费中差旅费、办公设备购置费用减少</w:t>
      </w:r>
      <w:r>
        <w:rPr>
          <w:rFonts w:ascii="仿宋_GB2312" w:eastAsia="仿宋_GB2312"/>
          <w:sz w:val="32"/>
          <w:highlight w:val="none"/>
        </w:rPr>
        <w:t>。</w:t>
      </w:r>
    </w:p>
    <w:p>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hint="default" w:ascii="楷体_GB2312" w:eastAsia="楷体_GB2312"/>
          <w:b/>
          <w:sz w:val="32"/>
          <w:highlight w:val="none"/>
        </w:rPr>
      </w:pPr>
      <w:r>
        <w:rPr>
          <w:rFonts w:ascii="楷体_GB2312" w:eastAsia="楷体_GB2312"/>
          <w:b/>
          <w:sz w:val="32"/>
          <w:highlight w:val="none"/>
        </w:rPr>
        <w:t>（二）政府采购支出情况。</w:t>
      </w:r>
    </w:p>
    <w:p>
      <w:pPr>
        <w:pStyle w:val="6"/>
        <w:keepNext w:val="0"/>
        <w:keepLines w:val="0"/>
        <w:pageBreakBefore w:val="0"/>
        <w:kinsoku/>
        <w:wordWrap/>
        <w:overflowPunct/>
        <w:topLinePunct w:val="0"/>
        <w:autoSpaceDE/>
        <w:bidi w:val="0"/>
        <w:adjustRightInd/>
        <w:snapToGrid/>
        <w:spacing w:line="560" w:lineRule="exact"/>
        <w:ind w:firstLine="640" w:firstLineChars="200"/>
        <w:textAlignment w:val="auto"/>
        <w:rPr>
          <w:rFonts w:hint="default" w:ascii="仿宋_GB2312" w:eastAsia="仿宋_GB2312"/>
          <w:sz w:val="32"/>
          <w:highlight w:val="none"/>
        </w:rPr>
      </w:pPr>
      <w:r>
        <w:rPr>
          <w:rFonts w:ascii="仿宋_GB2312" w:eastAsia="仿宋_GB2312"/>
          <w:sz w:val="32"/>
          <w:highlight w:val="none"/>
        </w:rPr>
        <w:t>2021年政府采购支出总额</w:t>
      </w:r>
      <w:r>
        <w:rPr>
          <w:rFonts w:hint="eastAsia" w:ascii="仿宋_GB2312" w:eastAsia="仿宋_GB2312"/>
          <w:sz w:val="32"/>
          <w:highlight w:val="none"/>
          <w:lang w:val="en-US" w:eastAsia="zh-CN"/>
        </w:rPr>
        <w:t>1.45</w:t>
      </w:r>
      <w:r>
        <w:rPr>
          <w:rFonts w:ascii="仿宋_GB2312" w:eastAsia="仿宋_GB2312"/>
          <w:sz w:val="32"/>
          <w:highlight w:val="none"/>
        </w:rPr>
        <w:t>万元，其中：政府采购货物支出</w:t>
      </w:r>
      <w:r>
        <w:rPr>
          <w:rFonts w:hint="eastAsia" w:ascii="仿宋_GB2312" w:eastAsia="仿宋_GB2312"/>
          <w:sz w:val="32"/>
          <w:highlight w:val="none"/>
          <w:lang w:val="en-US" w:eastAsia="zh-CN"/>
        </w:rPr>
        <w:t>0</w:t>
      </w:r>
      <w:r>
        <w:rPr>
          <w:rFonts w:ascii="仿宋_GB2312" w:eastAsia="仿宋_GB2312"/>
          <w:sz w:val="32"/>
          <w:highlight w:val="none"/>
        </w:rPr>
        <w:t>万元，政府采购工程支出</w:t>
      </w:r>
      <w:r>
        <w:rPr>
          <w:rFonts w:hint="eastAsia" w:ascii="仿宋_GB2312" w:eastAsia="仿宋_GB2312"/>
          <w:sz w:val="32"/>
          <w:highlight w:val="none"/>
          <w:lang w:val="en-US" w:eastAsia="zh-CN"/>
        </w:rPr>
        <w:t>0</w:t>
      </w:r>
      <w:r>
        <w:rPr>
          <w:rFonts w:ascii="仿宋_GB2312" w:eastAsia="仿宋_GB2312"/>
          <w:sz w:val="32"/>
          <w:highlight w:val="none"/>
        </w:rPr>
        <w:t>万元，政府采购服务支出</w:t>
      </w:r>
      <w:r>
        <w:rPr>
          <w:rFonts w:hint="eastAsia" w:ascii="仿宋_GB2312" w:eastAsia="仿宋_GB2312"/>
          <w:sz w:val="32"/>
          <w:highlight w:val="none"/>
          <w:lang w:val="en-US" w:eastAsia="zh-CN"/>
        </w:rPr>
        <w:t>1.45</w:t>
      </w:r>
      <w:r>
        <w:rPr>
          <w:rFonts w:ascii="仿宋_GB2312" w:eastAsia="仿宋_GB2312"/>
          <w:sz w:val="32"/>
          <w:highlight w:val="none"/>
        </w:rPr>
        <w:t>万元。授予中小企业合同金额</w:t>
      </w:r>
      <w:r>
        <w:rPr>
          <w:rFonts w:hint="eastAsia" w:ascii="仿宋_GB2312" w:eastAsia="仿宋_GB2312"/>
          <w:sz w:val="32"/>
          <w:highlight w:val="none"/>
          <w:lang w:val="en-US" w:eastAsia="zh-CN"/>
        </w:rPr>
        <w:t>0</w:t>
      </w:r>
      <w:r>
        <w:rPr>
          <w:rFonts w:ascii="仿宋_GB2312" w:eastAsia="仿宋_GB2312"/>
          <w:sz w:val="32"/>
          <w:highlight w:val="none"/>
        </w:rPr>
        <w:t>万元，占政府采购支出总额的</w:t>
      </w:r>
      <w:r>
        <w:rPr>
          <w:rFonts w:hint="eastAsia" w:ascii="仿宋_GB2312" w:eastAsia="仿宋_GB2312"/>
          <w:sz w:val="32"/>
          <w:highlight w:val="none"/>
          <w:lang w:val="en-US" w:eastAsia="zh-CN"/>
        </w:rPr>
        <w:t>0</w:t>
      </w:r>
      <w:r>
        <w:rPr>
          <w:rFonts w:ascii="仿宋_GB2312" w:eastAsia="仿宋_GB2312"/>
          <w:sz w:val="32"/>
          <w:highlight w:val="none"/>
        </w:rPr>
        <w:t>%，其中：授予小微企业合同金额</w:t>
      </w:r>
      <w:r>
        <w:rPr>
          <w:rFonts w:hint="eastAsia" w:ascii="仿宋_GB2312" w:eastAsia="仿宋_GB2312"/>
          <w:sz w:val="32"/>
          <w:highlight w:val="none"/>
          <w:lang w:val="en-US" w:eastAsia="zh-CN"/>
        </w:rPr>
        <w:t>0</w:t>
      </w:r>
      <w:r>
        <w:rPr>
          <w:rFonts w:ascii="仿宋_GB2312" w:eastAsia="仿宋_GB2312"/>
          <w:sz w:val="32"/>
          <w:highlight w:val="none"/>
        </w:rPr>
        <w:t>万元，占政府采购支出总额的</w:t>
      </w:r>
      <w:r>
        <w:rPr>
          <w:rFonts w:hint="eastAsia" w:ascii="仿宋_GB2312" w:eastAsia="仿宋_GB2312"/>
          <w:sz w:val="32"/>
          <w:highlight w:val="none"/>
          <w:lang w:val="en-US" w:eastAsia="zh-CN"/>
        </w:rPr>
        <w:t>0</w:t>
      </w:r>
      <w:r>
        <w:rPr>
          <w:rFonts w:ascii="仿宋_GB2312" w:eastAsia="仿宋_GB2312"/>
          <w:sz w:val="32"/>
          <w:highlight w:val="none"/>
        </w:rPr>
        <w:t>%；货物采购授予中小企业合同金额占货物支出金额的</w:t>
      </w:r>
      <w:r>
        <w:rPr>
          <w:rFonts w:hint="eastAsia" w:ascii="仿宋_GB2312" w:eastAsia="仿宋_GB2312"/>
          <w:sz w:val="32"/>
          <w:highlight w:val="none"/>
          <w:lang w:val="en-US" w:eastAsia="zh-CN"/>
        </w:rPr>
        <w:t>0</w:t>
      </w:r>
      <w:r>
        <w:rPr>
          <w:rFonts w:ascii="仿宋_GB2312" w:eastAsia="仿宋_GB2312"/>
          <w:sz w:val="32"/>
          <w:highlight w:val="none"/>
        </w:rPr>
        <w:t>%；工程采购授予中小企业合同金额占工程支出金额的</w:t>
      </w:r>
      <w:r>
        <w:rPr>
          <w:rFonts w:hint="eastAsia" w:ascii="仿宋_GB2312" w:eastAsia="仿宋_GB2312"/>
          <w:sz w:val="32"/>
          <w:highlight w:val="none"/>
          <w:lang w:val="en-US" w:eastAsia="zh-CN"/>
        </w:rPr>
        <w:t>0</w:t>
      </w:r>
      <w:r>
        <w:rPr>
          <w:rFonts w:ascii="仿宋_GB2312" w:eastAsia="仿宋_GB2312"/>
          <w:sz w:val="32"/>
          <w:highlight w:val="none"/>
        </w:rPr>
        <w:t>%；服务采购授予中小企业合同金额占服务支出金额的</w:t>
      </w:r>
      <w:r>
        <w:rPr>
          <w:rFonts w:hint="eastAsia" w:ascii="仿宋_GB2312" w:eastAsia="仿宋_GB2312"/>
          <w:sz w:val="32"/>
          <w:highlight w:val="none"/>
          <w:lang w:val="en-US" w:eastAsia="zh-CN"/>
        </w:rPr>
        <w:t>0</w:t>
      </w:r>
      <w:r>
        <w:rPr>
          <w:rFonts w:ascii="仿宋_GB2312" w:eastAsia="仿宋_GB2312"/>
          <w:sz w:val="32"/>
          <w:highlight w:val="none"/>
        </w:rPr>
        <w:t>%。</w:t>
      </w:r>
    </w:p>
    <w:p>
      <w:pPr>
        <w:pStyle w:val="6"/>
        <w:keepNext w:val="0"/>
        <w:keepLines w:val="0"/>
        <w:pageBreakBefore w:val="0"/>
        <w:kinsoku/>
        <w:wordWrap/>
        <w:overflowPunct/>
        <w:topLinePunct w:val="0"/>
        <w:autoSpaceDE/>
        <w:bidi w:val="0"/>
        <w:adjustRightInd/>
        <w:snapToGrid/>
        <w:spacing w:line="560" w:lineRule="exact"/>
        <w:ind w:firstLine="643" w:firstLineChars="200"/>
        <w:textAlignment w:val="auto"/>
        <w:rPr>
          <w:rFonts w:ascii="楷体_GB2312" w:eastAsia="楷体_GB2312"/>
          <w:b/>
          <w:sz w:val="32"/>
          <w:highlight w:val="none"/>
        </w:rPr>
      </w:pPr>
      <w:r>
        <w:rPr>
          <w:rFonts w:ascii="楷体_GB2312" w:eastAsia="楷体_GB2312"/>
          <w:b/>
          <w:sz w:val="32"/>
          <w:highlight w:val="none"/>
        </w:rPr>
        <w:t>（三）国有资产占用情况。</w:t>
      </w:r>
    </w:p>
    <w:p>
      <w:pPr>
        <w:pStyle w:val="6"/>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highlight w:val="none"/>
        </w:rPr>
      </w:pPr>
      <w:r>
        <w:rPr>
          <w:rFonts w:ascii="仿宋_GB2312" w:eastAsia="仿宋_GB2312"/>
          <w:sz w:val="32"/>
          <w:highlight w:val="none"/>
        </w:rPr>
        <w:t>截至2021年12月31日，共有车辆</w:t>
      </w:r>
      <w:r>
        <w:rPr>
          <w:rFonts w:hint="eastAsia" w:ascii="仿宋_GB2312" w:eastAsia="仿宋_GB2312"/>
          <w:sz w:val="32"/>
          <w:highlight w:val="none"/>
          <w:lang w:val="en-US" w:eastAsia="zh-CN"/>
        </w:rPr>
        <w:t>0</w:t>
      </w:r>
      <w:r>
        <w:rPr>
          <w:rFonts w:ascii="仿宋_GB2312" w:eastAsia="仿宋_GB2312"/>
          <w:sz w:val="32"/>
          <w:highlight w:val="none"/>
        </w:rPr>
        <w:t>辆，其中：副省级以上领导干部用车</w:t>
      </w:r>
      <w:r>
        <w:rPr>
          <w:rFonts w:hint="eastAsia" w:ascii="仿宋_GB2312" w:eastAsia="仿宋_GB2312"/>
          <w:sz w:val="32"/>
          <w:highlight w:val="none"/>
          <w:lang w:val="en-US" w:eastAsia="zh-CN"/>
        </w:rPr>
        <w:t>0</w:t>
      </w:r>
      <w:r>
        <w:rPr>
          <w:rFonts w:ascii="仿宋_GB2312" w:eastAsia="仿宋_GB2312"/>
          <w:sz w:val="32"/>
          <w:highlight w:val="none"/>
        </w:rPr>
        <w:t>辆，主要领导干部用车</w:t>
      </w:r>
      <w:r>
        <w:rPr>
          <w:rFonts w:hint="eastAsia" w:ascii="仿宋_GB2312" w:eastAsia="仿宋_GB2312"/>
          <w:sz w:val="32"/>
          <w:highlight w:val="none"/>
          <w:lang w:val="en-US" w:eastAsia="zh-CN"/>
        </w:rPr>
        <w:t>0</w:t>
      </w:r>
      <w:r>
        <w:rPr>
          <w:rFonts w:ascii="仿宋_GB2312" w:eastAsia="仿宋_GB2312"/>
          <w:sz w:val="32"/>
          <w:highlight w:val="none"/>
        </w:rPr>
        <w:t>辆，机要通讯用车</w:t>
      </w:r>
      <w:r>
        <w:rPr>
          <w:rFonts w:hint="eastAsia" w:ascii="仿宋_GB2312" w:eastAsia="仿宋_GB2312"/>
          <w:sz w:val="32"/>
          <w:highlight w:val="none"/>
          <w:lang w:val="en-US" w:eastAsia="zh-CN"/>
        </w:rPr>
        <w:t>0</w:t>
      </w:r>
      <w:r>
        <w:rPr>
          <w:rFonts w:ascii="仿宋_GB2312" w:eastAsia="仿宋_GB2312"/>
          <w:sz w:val="32"/>
          <w:highlight w:val="none"/>
        </w:rPr>
        <w:t>辆，应急保障用车</w:t>
      </w:r>
      <w:r>
        <w:rPr>
          <w:rFonts w:hint="eastAsia" w:ascii="仿宋_GB2312" w:eastAsia="仿宋_GB2312"/>
          <w:sz w:val="32"/>
          <w:highlight w:val="none"/>
          <w:lang w:val="en-US" w:eastAsia="zh-CN"/>
        </w:rPr>
        <w:t>0</w:t>
      </w:r>
      <w:r>
        <w:rPr>
          <w:rFonts w:ascii="仿宋_GB2312" w:eastAsia="仿宋_GB2312"/>
          <w:sz w:val="32"/>
          <w:highlight w:val="none"/>
        </w:rPr>
        <w:t>辆，执法执勤用车</w:t>
      </w:r>
      <w:r>
        <w:rPr>
          <w:rFonts w:hint="eastAsia" w:ascii="仿宋_GB2312" w:eastAsia="仿宋_GB2312"/>
          <w:sz w:val="32"/>
          <w:highlight w:val="none"/>
          <w:lang w:val="en-US" w:eastAsia="zh-CN"/>
        </w:rPr>
        <w:t>0</w:t>
      </w:r>
      <w:r>
        <w:rPr>
          <w:rFonts w:ascii="仿宋_GB2312" w:eastAsia="仿宋_GB2312"/>
          <w:sz w:val="32"/>
          <w:highlight w:val="none"/>
        </w:rPr>
        <w:t>辆，特种专业技术用车</w:t>
      </w:r>
      <w:r>
        <w:rPr>
          <w:rFonts w:hint="eastAsia" w:ascii="仿宋_GB2312" w:eastAsia="仿宋_GB2312"/>
          <w:sz w:val="32"/>
          <w:highlight w:val="none"/>
          <w:lang w:val="en-US" w:eastAsia="zh-CN"/>
        </w:rPr>
        <w:t>0</w:t>
      </w:r>
      <w:r>
        <w:rPr>
          <w:rFonts w:ascii="仿宋_GB2312" w:eastAsia="仿宋_GB2312"/>
          <w:sz w:val="32"/>
          <w:highlight w:val="none"/>
        </w:rPr>
        <w:t>辆，离退休干部用车</w:t>
      </w:r>
      <w:r>
        <w:rPr>
          <w:rFonts w:hint="eastAsia" w:ascii="仿宋_GB2312" w:eastAsia="仿宋_GB2312"/>
          <w:sz w:val="32"/>
          <w:highlight w:val="none"/>
          <w:lang w:val="en-US" w:eastAsia="zh-CN"/>
        </w:rPr>
        <w:t>0</w:t>
      </w:r>
      <w:r>
        <w:rPr>
          <w:rFonts w:ascii="仿宋_GB2312" w:eastAsia="仿宋_GB2312"/>
          <w:sz w:val="32"/>
          <w:highlight w:val="none"/>
        </w:rPr>
        <w:t>辆，其他用车</w:t>
      </w:r>
      <w:r>
        <w:rPr>
          <w:rFonts w:hint="eastAsia" w:ascii="仿宋_GB2312" w:eastAsia="仿宋_GB2312"/>
          <w:sz w:val="32"/>
          <w:highlight w:val="none"/>
          <w:lang w:val="en-US" w:eastAsia="zh-CN"/>
        </w:rPr>
        <w:t>0</w:t>
      </w:r>
      <w:r>
        <w:rPr>
          <w:rFonts w:ascii="仿宋_GB2312" w:eastAsia="仿宋_GB2312"/>
          <w:sz w:val="32"/>
          <w:highlight w:val="none"/>
        </w:rPr>
        <w:t>辆，单位价值50万元以上通用设备</w:t>
      </w:r>
      <w:r>
        <w:rPr>
          <w:rFonts w:hint="eastAsia" w:ascii="仿宋_GB2312" w:eastAsia="仿宋_GB2312"/>
          <w:sz w:val="32"/>
          <w:highlight w:val="none"/>
          <w:lang w:val="en-US" w:eastAsia="zh-CN"/>
        </w:rPr>
        <w:t>0</w:t>
      </w:r>
      <w:r>
        <w:rPr>
          <w:rFonts w:ascii="仿宋_GB2312" w:eastAsia="仿宋_GB2312"/>
          <w:sz w:val="32"/>
          <w:highlight w:val="none"/>
        </w:rPr>
        <w:t>台（套），单价100万元以上专用设备</w:t>
      </w:r>
      <w:r>
        <w:rPr>
          <w:rFonts w:hint="eastAsia" w:ascii="仿宋_GB2312" w:eastAsia="仿宋_GB2312"/>
          <w:sz w:val="32"/>
          <w:highlight w:val="none"/>
          <w:lang w:val="en-US" w:eastAsia="zh-CN"/>
        </w:rPr>
        <w:t>0</w:t>
      </w:r>
      <w:r>
        <w:rPr>
          <w:rFonts w:ascii="仿宋_GB2312" w:eastAsia="仿宋_GB2312"/>
          <w:sz w:val="32"/>
          <w:highlight w:val="none"/>
        </w:rPr>
        <w:t>台（套）。</w:t>
      </w:r>
    </w:p>
    <w:p>
      <w:pPr>
        <w:keepNext w:val="0"/>
        <w:keepLines w:val="0"/>
        <w:pageBreakBefore w:val="0"/>
        <w:widowControl/>
        <w:suppressLineNumbers w:val="0"/>
        <w:kinsoku/>
        <w:wordWrap/>
        <w:overflowPunct/>
        <w:topLinePunct w:val="0"/>
        <w:autoSpaceDE/>
        <w:bidi w:val="0"/>
        <w:adjustRightInd/>
        <w:snapToGrid/>
        <w:spacing w:before="0" w:beforeAutospacing="0" w:after="0" w:afterAutospacing="0" w:line="560" w:lineRule="exact"/>
        <w:ind w:left="0" w:right="0" w:firstLine="643" w:firstLineChars="200"/>
        <w:jc w:val="left"/>
        <w:textAlignment w:val="auto"/>
        <w:rPr>
          <w:rFonts w:hint="default" w:ascii="仿宋_GB2312" w:eastAsia="仿宋_GB2312"/>
          <w:sz w:val="32"/>
          <w:highlight w:val="none"/>
        </w:rPr>
      </w:pPr>
      <w:r>
        <w:rPr>
          <w:rFonts w:ascii="楷体_GB2312" w:eastAsia="楷体_GB2312"/>
          <w:b/>
          <w:sz w:val="32"/>
          <w:highlight w:val="none"/>
        </w:rPr>
        <w:t>（四）预算绩效管理工作开展情况。</w:t>
      </w:r>
    </w:p>
    <w:p>
      <w:pPr>
        <w:keepNext w:val="0"/>
        <w:keepLines w:val="0"/>
        <w:pageBreakBefore w:val="0"/>
        <w:widowControl/>
        <w:kinsoku/>
        <w:wordWrap/>
        <w:overflowPunct/>
        <w:topLinePunct w:val="0"/>
        <w:autoSpaceDE/>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shd w:val="clear" w:color="auto" w:fill="auto"/>
          <w:lang w:val="en-US" w:eastAsia="zh-CN" w:bidi="ar"/>
        </w:rPr>
      </w:pPr>
      <w:r>
        <w:rPr>
          <w:rFonts w:hint="eastAsia" w:ascii="仿宋" w:hAnsi="仿宋" w:eastAsia="仿宋" w:cs="仿宋"/>
          <w:color w:val="auto"/>
          <w:kern w:val="2"/>
          <w:sz w:val="32"/>
          <w:szCs w:val="32"/>
          <w:highlight w:val="none"/>
          <w:shd w:val="clear" w:color="auto" w:fill="auto"/>
          <w:lang w:val="en-US" w:eastAsia="zh-CN" w:bidi="ar"/>
        </w:rPr>
        <w:t>2021年我单位无绩效自评和部门重点评价情况。</w:t>
      </w:r>
    </w:p>
    <w:p>
      <w:pPr>
        <w:keepNext w:val="0"/>
        <w:keepLines w:val="0"/>
        <w:pageBreakBefore w:val="0"/>
        <w:widowControl/>
        <w:kinsoku/>
        <w:wordWrap/>
        <w:overflowPunct/>
        <w:topLinePunct w:val="0"/>
        <w:autoSpaceDE/>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shd w:val="clear" w:color="auto" w:fill="auto"/>
          <w:lang w:val="en-US" w:eastAsia="zh-CN" w:bidi="ar"/>
        </w:rPr>
      </w:pPr>
    </w:p>
    <w:p>
      <w:pPr>
        <w:keepNext w:val="0"/>
        <w:keepLines w:val="0"/>
        <w:pageBreakBefore w:val="0"/>
        <w:widowControl/>
        <w:kinsoku/>
        <w:wordWrap/>
        <w:overflowPunct/>
        <w:topLinePunct w:val="0"/>
        <w:autoSpaceDE/>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shd w:val="clear" w:color="auto" w:fill="auto"/>
          <w:lang w:val="en-US" w:eastAsia="zh-CN" w:bidi="ar"/>
        </w:rPr>
      </w:pPr>
    </w:p>
    <w:p>
      <w:pPr>
        <w:keepNext w:val="0"/>
        <w:keepLines w:val="0"/>
        <w:pageBreakBefore w:val="0"/>
        <w:widowControl/>
        <w:kinsoku/>
        <w:wordWrap/>
        <w:overflowPunct/>
        <w:topLinePunct w:val="0"/>
        <w:autoSpaceDE/>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shd w:val="clear" w:color="auto" w:fill="auto"/>
          <w:lang w:val="en-US" w:eastAsia="zh-CN" w:bidi="ar"/>
        </w:rPr>
      </w:pPr>
    </w:p>
    <w:p>
      <w:pPr>
        <w:pStyle w:val="6"/>
        <w:keepNext w:val="0"/>
        <w:keepLines w:val="0"/>
        <w:pageBreakBefore w:val="0"/>
        <w:kinsoku/>
        <w:wordWrap/>
        <w:overflowPunct/>
        <w:topLinePunct w:val="0"/>
        <w:autoSpaceDE/>
        <w:bidi w:val="0"/>
        <w:adjustRightInd/>
        <w:snapToGrid/>
        <w:spacing w:line="560" w:lineRule="exact"/>
        <w:ind w:firstLine="723" w:firstLineChars="200"/>
        <w:textAlignment w:val="auto"/>
        <w:rPr>
          <w:rFonts w:hint="default"/>
          <w:b/>
          <w:sz w:val="36"/>
        </w:rPr>
      </w:pPr>
    </w:p>
    <w:p>
      <w:pPr>
        <w:pStyle w:val="9"/>
        <w:keepNext w:val="0"/>
        <w:keepLines w:val="0"/>
        <w:pageBreakBefore w:val="0"/>
        <w:numPr>
          <w:ilvl w:val="0"/>
          <w:numId w:val="1"/>
        </w:numPr>
        <w:kinsoku/>
        <w:wordWrap/>
        <w:overflowPunct/>
        <w:topLinePunct w:val="0"/>
        <w:autoSpaceDE/>
        <w:autoSpaceDN w:val="0"/>
        <w:bidi w:val="0"/>
        <w:adjustRightInd/>
        <w:snapToGrid/>
        <w:spacing w:line="560" w:lineRule="exact"/>
        <w:jc w:val="center"/>
        <w:textAlignment w:val="auto"/>
        <w:rPr>
          <w:rFonts w:hint="eastAsia"/>
          <w:b/>
          <w:bCs/>
          <w:sz w:val="36"/>
          <w:szCs w:val="36"/>
        </w:rPr>
      </w:pPr>
      <w:r>
        <w:rPr>
          <w:rFonts w:hint="eastAsia"/>
          <w:b/>
          <w:bCs/>
          <w:sz w:val="36"/>
          <w:szCs w:val="36"/>
        </w:rPr>
        <w:t>名词解释</w:t>
      </w:r>
    </w:p>
    <w:p>
      <w:pPr>
        <w:pStyle w:val="9"/>
        <w:keepNext w:val="0"/>
        <w:keepLines w:val="0"/>
        <w:pageBreakBefore w:val="0"/>
        <w:numPr>
          <w:ilvl w:val="0"/>
          <w:numId w:val="0"/>
        </w:numPr>
        <w:kinsoku/>
        <w:wordWrap/>
        <w:overflowPunct/>
        <w:topLinePunct w:val="0"/>
        <w:autoSpaceDE/>
        <w:autoSpaceDN w:val="0"/>
        <w:bidi w:val="0"/>
        <w:adjustRightInd/>
        <w:snapToGrid/>
        <w:spacing w:line="560" w:lineRule="exact"/>
        <w:jc w:val="both"/>
        <w:textAlignment w:val="auto"/>
        <w:rPr>
          <w:rFonts w:hint="eastAsia"/>
          <w:b/>
          <w:bCs/>
          <w:sz w:val="36"/>
          <w:szCs w:val="36"/>
        </w:rPr>
      </w:pP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keepNext w:val="0"/>
        <w:keepLines/>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keepNext w:val="0"/>
        <w:keepLines/>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keepNext w:val="0"/>
        <w:keepLines/>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rPr>
          <w:rFonts w:hint="default" w:ascii="仿宋_GB2312" w:hAnsi="宋体" w:eastAsia="仿宋_GB2312"/>
          <w:kern w:val="0"/>
          <w:sz w:val="32"/>
        </w:rPr>
      </w:pPr>
      <w:r>
        <w:rPr>
          <w:rFonts w:ascii="仿宋_GB2312" w:hAnsi="仿宋_GB2312" w:eastAsia="仿宋_GB2312" w:cs="仿宋_GB2312"/>
          <w:b/>
          <w:sz w:val="52"/>
          <w:szCs w:val="52"/>
        </w:rPr>
        <w:t>第四部分</w:t>
      </w:r>
      <w:r>
        <w:rPr>
          <w:rFonts w:hint="eastAsia" w:ascii="仿宋_GB2312" w:hAnsi="仿宋_GB2312" w:eastAsia="仿宋_GB2312" w:cs="仿宋_GB2312"/>
          <w:b/>
          <w:sz w:val="52"/>
          <w:szCs w:val="52"/>
          <w:lang w:val="en-US" w:eastAsia="zh-CN"/>
        </w:rPr>
        <w:t xml:space="preserve"> 辽宁省沈阳市浑南区民政局</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AA87F"/>
    <w:multiLevelType w:val="singleLevel"/>
    <w:tmpl w:val="4A3AA87F"/>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2D0ED7"/>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20B5EE9"/>
    <w:rsid w:val="05224B10"/>
    <w:rsid w:val="0592672F"/>
    <w:rsid w:val="071830B3"/>
    <w:rsid w:val="08315D7E"/>
    <w:rsid w:val="09285011"/>
    <w:rsid w:val="09C4782E"/>
    <w:rsid w:val="0AC17331"/>
    <w:rsid w:val="0B900273"/>
    <w:rsid w:val="0CA72A36"/>
    <w:rsid w:val="0CC25B7D"/>
    <w:rsid w:val="0ECB7368"/>
    <w:rsid w:val="0FB2044E"/>
    <w:rsid w:val="0FDF3EC4"/>
    <w:rsid w:val="11612EA5"/>
    <w:rsid w:val="120C4DAA"/>
    <w:rsid w:val="172B7C90"/>
    <w:rsid w:val="17C105C9"/>
    <w:rsid w:val="180C2802"/>
    <w:rsid w:val="19091420"/>
    <w:rsid w:val="1C635C29"/>
    <w:rsid w:val="1FA173F5"/>
    <w:rsid w:val="22752A8F"/>
    <w:rsid w:val="246B154C"/>
    <w:rsid w:val="24847EF8"/>
    <w:rsid w:val="255F52DD"/>
    <w:rsid w:val="26E25422"/>
    <w:rsid w:val="27114CA3"/>
    <w:rsid w:val="27357461"/>
    <w:rsid w:val="27DF65F5"/>
    <w:rsid w:val="27E404FE"/>
    <w:rsid w:val="28036BB5"/>
    <w:rsid w:val="28901C9C"/>
    <w:rsid w:val="291021EA"/>
    <w:rsid w:val="2A916E63"/>
    <w:rsid w:val="2C7A4785"/>
    <w:rsid w:val="2DFD4901"/>
    <w:rsid w:val="2E4F6256"/>
    <w:rsid w:val="2F7169E1"/>
    <w:rsid w:val="312C253A"/>
    <w:rsid w:val="31545C7D"/>
    <w:rsid w:val="31F20FFF"/>
    <w:rsid w:val="324B2992"/>
    <w:rsid w:val="333B009C"/>
    <w:rsid w:val="353F19F1"/>
    <w:rsid w:val="35F86C9B"/>
    <w:rsid w:val="36230505"/>
    <w:rsid w:val="37941F3F"/>
    <w:rsid w:val="38635A90"/>
    <w:rsid w:val="39EE3018"/>
    <w:rsid w:val="3AC10745"/>
    <w:rsid w:val="3BCC6E71"/>
    <w:rsid w:val="3C543787"/>
    <w:rsid w:val="3CC44D40"/>
    <w:rsid w:val="3D25605E"/>
    <w:rsid w:val="3DD81385"/>
    <w:rsid w:val="3F896B4D"/>
    <w:rsid w:val="41F30FDA"/>
    <w:rsid w:val="426A0E03"/>
    <w:rsid w:val="431C0C27"/>
    <w:rsid w:val="45834899"/>
    <w:rsid w:val="45B63DEE"/>
    <w:rsid w:val="48765EF0"/>
    <w:rsid w:val="48E2521F"/>
    <w:rsid w:val="4A721F0A"/>
    <w:rsid w:val="4E2B0F4A"/>
    <w:rsid w:val="5122624A"/>
    <w:rsid w:val="51424D5F"/>
    <w:rsid w:val="52455887"/>
    <w:rsid w:val="52AB0AAE"/>
    <w:rsid w:val="533C039D"/>
    <w:rsid w:val="53C93484"/>
    <w:rsid w:val="54F6469B"/>
    <w:rsid w:val="55E9561C"/>
    <w:rsid w:val="56A80039"/>
    <w:rsid w:val="573468E3"/>
    <w:rsid w:val="578445D1"/>
    <w:rsid w:val="580D3184"/>
    <w:rsid w:val="586D7A1E"/>
    <w:rsid w:val="59841A6C"/>
    <w:rsid w:val="5A1A6A8A"/>
    <w:rsid w:val="5B6466FE"/>
    <w:rsid w:val="5B697371"/>
    <w:rsid w:val="5C7133B8"/>
    <w:rsid w:val="5C9C1C7E"/>
    <w:rsid w:val="5D1154C0"/>
    <w:rsid w:val="5D131074"/>
    <w:rsid w:val="5DC374E2"/>
    <w:rsid w:val="5DE6679D"/>
    <w:rsid w:val="5EAB7696"/>
    <w:rsid w:val="5EE27892"/>
    <w:rsid w:val="60983788"/>
    <w:rsid w:val="62431055"/>
    <w:rsid w:val="62E4334D"/>
    <w:rsid w:val="62E864D0"/>
    <w:rsid w:val="63806A4E"/>
    <w:rsid w:val="63AE2A15"/>
    <w:rsid w:val="644D291F"/>
    <w:rsid w:val="649D011F"/>
    <w:rsid w:val="652A1008"/>
    <w:rsid w:val="65833436"/>
    <w:rsid w:val="673C6F2C"/>
    <w:rsid w:val="68391AFF"/>
    <w:rsid w:val="68FF4E51"/>
    <w:rsid w:val="6AF15601"/>
    <w:rsid w:val="6B7A4DEC"/>
    <w:rsid w:val="6C0E4753"/>
    <w:rsid w:val="6CC27A7A"/>
    <w:rsid w:val="6CFC695A"/>
    <w:rsid w:val="6D614100"/>
    <w:rsid w:val="6DD23B34"/>
    <w:rsid w:val="6E2D1366"/>
    <w:rsid w:val="6E9431F9"/>
    <w:rsid w:val="724179B2"/>
    <w:rsid w:val="72776CCF"/>
    <w:rsid w:val="72E2531A"/>
    <w:rsid w:val="72FA6930"/>
    <w:rsid w:val="72FC1E33"/>
    <w:rsid w:val="73283F7C"/>
    <w:rsid w:val="73C36379"/>
    <w:rsid w:val="73CC6C88"/>
    <w:rsid w:val="752E1119"/>
    <w:rsid w:val="75EC4704"/>
    <w:rsid w:val="765B603D"/>
    <w:rsid w:val="76BF24DE"/>
    <w:rsid w:val="780627F5"/>
    <w:rsid w:val="78792B34"/>
    <w:rsid w:val="79076F20"/>
    <w:rsid w:val="79323384"/>
    <w:rsid w:val="79A429F2"/>
    <w:rsid w:val="7A304404"/>
    <w:rsid w:val="7AF63E52"/>
    <w:rsid w:val="7C815ED2"/>
    <w:rsid w:val="7CB244A3"/>
    <w:rsid w:val="7CBB4DB2"/>
    <w:rsid w:val="7D024843"/>
    <w:rsid w:val="7DD4587F"/>
    <w:rsid w:val="7EB119EA"/>
    <w:rsid w:val="7EF249D2"/>
    <w:rsid w:val="7F2464A6"/>
    <w:rsid w:val="7F936584"/>
    <w:rsid w:val="7FC80E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5194</Words>
  <Characters>5751</Characters>
  <Lines>37</Lines>
  <Paragraphs>10</Paragraphs>
  <TotalTime>2</TotalTime>
  <ScaleCrop>false</ScaleCrop>
  <LinksUpToDate>false</LinksUpToDate>
  <CharactersWithSpaces>5782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2023-05-16T07:38:00Z</cp:lastPrinted>
  <dcterms:modified xsi:type="dcterms:W3CDTF">2023-06-15T03:13:36Z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